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593"/>
        <w:gridCol w:w="4219"/>
      </w:tblGrid>
      <w:tr w:rsidR="001B5DF8" w:rsidRPr="001B5DF8" w:rsidTr="001B5DF8">
        <w:trPr>
          <w:trHeight w:val="1275"/>
        </w:trPr>
        <w:tc>
          <w:tcPr>
            <w:tcW w:w="421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1B5DF8" w:rsidRPr="001B5DF8" w:rsidRDefault="001B5DF8" w:rsidP="001B5DF8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B5D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Председатель</w:t>
            </w:r>
          </w:p>
          <w:p w:rsidR="001B5DF8" w:rsidRPr="001B5DF8" w:rsidRDefault="001B5DF8" w:rsidP="001B5DF8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yellow"/>
                <w:lang w:eastAsia="ru-RU"/>
              </w:rPr>
            </w:pPr>
            <w:proofErr w:type="spellStart"/>
            <w:r w:rsidRPr="001B5D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Контрольно</w:t>
            </w:r>
            <w:proofErr w:type="spellEnd"/>
            <w:r w:rsidRPr="001B5D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- счетного органа муниципального образования «Муниципальный округ Каракулинский район Удмуртской Республики»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1B5DF8" w:rsidRPr="001B5DF8" w:rsidRDefault="001B5DF8" w:rsidP="001B5DF8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ind w:left="68" w:right="3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highlight w:val="yellow"/>
                <w:lang w:eastAsia="ru-RU"/>
              </w:rPr>
            </w:pPr>
            <w:r w:rsidRPr="001B5DF8">
              <w:rPr>
                <w:rFonts w:ascii="Times New Roman" w:eastAsia="Times New Roman" w:hAnsi="Times New Roman" w:cs="Times New Roman"/>
                <w:noProof/>
                <w:sz w:val="26"/>
                <w:szCs w:val="20"/>
                <w:lang w:eastAsia="ru-RU"/>
              </w:rPr>
              <w:drawing>
                <wp:inline distT="0" distB="0" distL="0" distR="0" wp14:anchorId="5DC6CBEC" wp14:editId="2E8A033D">
                  <wp:extent cx="638175" cy="6191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88" t="2921" r="3319" b="48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1B5DF8" w:rsidRPr="001B5DF8" w:rsidRDefault="001B5DF8" w:rsidP="001B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B5D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«Удмурт </w:t>
            </w:r>
            <w:proofErr w:type="spellStart"/>
            <w:r w:rsidRPr="001B5D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Элькунысь</w:t>
            </w:r>
            <w:proofErr w:type="spellEnd"/>
            <w:r w:rsidRPr="001B5D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Каракулино </w:t>
            </w:r>
            <w:proofErr w:type="spellStart"/>
            <w:r w:rsidRPr="001B5D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ёрос</w:t>
            </w:r>
            <w:proofErr w:type="spellEnd"/>
            <w:r w:rsidRPr="001B5D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B5DF8" w:rsidRPr="001B5DF8" w:rsidRDefault="001B5DF8" w:rsidP="001B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B5D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муниципал округ» </w:t>
            </w:r>
          </w:p>
          <w:p w:rsidR="001B5DF8" w:rsidRPr="001B5DF8" w:rsidRDefault="001B5DF8" w:rsidP="001B5DF8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B5D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муниципал </w:t>
            </w:r>
            <w:proofErr w:type="spellStart"/>
            <w:r w:rsidRPr="001B5D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кылдытэтысь</w:t>
            </w:r>
            <w:proofErr w:type="spellEnd"/>
            <w:r w:rsidRPr="001B5D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5D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экскерон-лыдъянъя</w:t>
            </w:r>
            <w:proofErr w:type="spellEnd"/>
            <w:r w:rsidRPr="001B5D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5D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ёзэслэн</w:t>
            </w:r>
            <w:proofErr w:type="spellEnd"/>
            <w:r w:rsidRPr="001B5D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5D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тёроез</w:t>
            </w:r>
            <w:proofErr w:type="spellEnd"/>
          </w:p>
        </w:tc>
      </w:tr>
      <w:tr w:rsidR="001B5DF8" w:rsidRPr="00165D23" w:rsidTr="001B5DF8">
        <w:trPr>
          <w:trHeight w:val="629"/>
        </w:trPr>
        <w:tc>
          <w:tcPr>
            <w:tcW w:w="10031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5DF8" w:rsidRPr="001B5DF8" w:rsidRDefault="001B5DF8" w:rsidP="001B5DF8">
            <w:pPr>
              <w:widowControl w:val="0"/>
              <w:tabs>
                <w:tab w:val="left" w:pos="9950"/>
              </w:tabs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5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Каманина ул., д.10, с. Каракулино, Каракулинский район, Удмуртская Республика, 427920</w:t>
            </w:r>
          </w:p>
          <w:p w:rsidR="001B5DF8" w:rsidRPr="001B5DF8" w:rsidRDefault="001B5DF8" w:rsidP="001B5DF8">
            <w:pPr>
              <w:widowControl w:val="0"/>
              <w:tabs>
                <w:tab w:val="left" w:pos="9950"/>
              </w:tabs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B5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B5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. (34132) 3-13-30, </w:t>
            </w:r>
            <w:r w:rsidRPr="001B5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1B5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. 3-13-44, </w:t>
            </w:r>
            <w:hyperlink r:id="rId10" w:history="1">
              <w:r w:rsidRPr="001B5DF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http://karakulino.udmurt.ru</w:t>
              </w:r>
            </w:hyperlink>
            <w:r w:rsidRPr="001B5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e-mail: </w:t>
            </w:r>
            <w:hyperlink r:id="rId11" w:history="1">
              <w:r w:rsidRPr="001B5DF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karnet@udm.net</w:t>
              </w:r>
            </w:hyperlink>
          </w:p>
        </w:tc>
      </w:tr>
    </w:tbl>
    <w:p w:rsidR="00E12AB2" w:rsidRPr="001E5F17" w:rsidRDefault="00E12AB2" w:rsidP="00E12AB2">
      <w:pPr>
        <w:pStyle w:val="ConsPlusNormal"/>
        <w:ind w:firstLine="709"/>
        <w:jc w:val="both"/>
        <w:rPr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95"/>
        <w:gridCol w:w="4776"/>
      </w:tblGrid>
      <w:tr w:rsidR="00E12AB2" w:rsidRPr="00E5262A" w:rsidTr="00E12AB2">
        <w:tc>
          <w:tcPr>
            <w:tcW w:w="4795" w:type="dxa"/>
            <w:shd w:val="clear" w:color="auto" w:fill="auto"/>
          </w:tcPr>
          <w:p w:rsidR="00E12AB2" w:rsidRPr="00F270BF" w:rsidRDefault="00E12AB2" w:rsidP="00587E2D">
            <w:pPr>
              <w:pStyle w:val="4"/>
              <w:rPr>
                <w:sz w:val="24"/>
              </w:rPr>
            </w:pPr>
            <w:r w:rsidRPr="00F270BF">
              <w:rPr>
                <w:sz w:val="24"/>
              </w:rPr>
              <w:t xml:space="preserve">От </w:t>
            </w:r>
            <w:r w:rsidR="00B14556">
              <w:rPr>
                <w:sz w:val="24"/>
              </w:rPr>
              <w:t>1</w:t>
            </w:r>
            <w:r w:rsidR="00587E2D">
              <w:rPr>
                <w:sz w:val="24"/>
              </w:rPr>
              <w:t>5</w:t>
            </w:r>
            <w:r>
              <w:rPr>
                <w:sz w:val="24"/>
              </w:rPr>
              <w:t>.0</w:t>
            </w:r>
            <w:r w:rsidR="00587E2D">
              <w:rPr>
                <w:sz w:val="24"/>
              </w:rPr>
              <w:t>5</w:t>
            </w:r>
            <w:r w:rsidRPr="00F270BF">
              <w:rPr>
                <w:sz w:val="24"/>
              </w:rPr>
              <w:t>.20</w:t>
            </w:r>
            <w:r>
              <w:rPr>
                <w:sz w:val="24"/>
              </w:rPr>
              <w:t>2</w:t>
            </w:r>
            <w:r w:rsidR="001E00B6">
              <w:rPr>
                <w:sz w:val="24"/>
              </w:rPr>
              <w:t>5</w:t>
            </w:r>
            <w:r w:rsidRPr="00F270BF">
              <w:rPr>
                <w:sz w:val="24"/>
              </w:rPr>
              <w:t xml:space="preserve"> № </w:t>
            </w:r>
            <w:r w:rsidR="001B5DF8">
              <w:rPr>
                <w:sz w:val="24"/>
              </w:rPr>
              <w:t>2</w:t>
            </w:r>
            <w:r w:rsidR="00587E2D">
              <w:rPr>
                <w:sz w:val="24"/>
              </w:rPr>
              <w:t>5</w:t>
            </w:r>
            <w:r w:rsidR="00FC1009">
              <w:rPr>
                <w:sz w:val="24"/>
              </w:rPr>
              <w:t>/01-</w:t>
            </w:r>
            <w:r w:rsidR="00980636">
              <w:rPr>
                <w:sz w:val="24"/>
              </w:rPr>
              <w:t>15</w:t>
            </w:r>
          </w:p>
        </w:tc>
        <w:tc>
          <w:tcPr>
            <w:tcW w:w="4776" w:type="dxa"/>
            <w:shd w:val="clear" w:color="auto" w:fill="auto"/>
          </w:tcPr>
          <w:p w:rsidR="00E12AB2" w:rsidRPr="00F270BF" w:rsidRDefault="001B5DF8" w:rsidP="00104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с. Каракулино</w:t>
            </w:r>
          </w:p>
        </w:tc>
      </w:tr>
      <w:tr w:rsidR="00E12AB2" w:rsidRPr="00580264" w:rsidTr="00E12AB2">
        <w:tc>
          <w:tcPr>
            <w:tcW w:w="9571" w:type="dxa"/>
            <w:gridSpan w:val="2"/>
            <w:shd w:val="clear" w:color="auto" w:fill="auto"/>
          </w:tcPr>
          <w:p w:rsidR="00E12AB2" w:rsidRPr="00580264" w:rsidRDefault="00E12AB2" w:rsidP="00587E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 записка об исполнении бюджета муниципального образования «</w:t>
            </w:r>
            <w:r w:rsidR="009806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Муниципальный округ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Каракулинский район</w:t>
            </w:r>
            <w:r w:rsidR="009806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Удмуртской Республики»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1 квартал 202</w:t>
            </w:r>
            <w:r w:rsidR="00587E2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года.</w:t>
            </w:r>
          </w:p>
        </w:tc>
      </w:tr>
    </w:tbl>
    <w:p w:rsidR="00E12AB2" w:rsidRPr="00580264" w:rsidRDefault="00E12AB2" w:rsidP="00E12AB2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264">
        <w:rPr>
          <w:rFonts w:ascii="Times New Roman" w:hAnsi="Times New Roman" w:cs="Times New Roman"/>
          <w:b/>
          <w:sz w:val="24"/>
          <w:szCs w:val="24"/>
        </w:rPr>
        <w:t xml:space="preserve">Основание для проведения </w:t>
      </w:r>
      <w:r>
        <w:rPr>
          <w:rFonts w:ascii="Times New Roman" w:hAnsi="Times New Roman" w:cs="Times New Roman"/>
          <w:b/>
          <w:sz w:val="24"/>
          <w:szCs w:val="24"/>
        </w:rPr>
        <w:t>анализа</w:t>
      </w:r>
      <w:r w:rsidRPr="00580264">
        <w:rPr>
          <w:rFonts w:ascii="Times New Roman" w:hAnsi="Times New Roman" w:cs="Times New Roman"/>
          <w:b/>
          <w:sz w:val="24"/>
          <w:szCs w:val="24"/>
        </w:rPr>
        <w:t>:</w:t>
      </w:r>
    </w:p>
    <w:p w:rsidR="00E12AB2" w:rsidRPr="00E12AB2" w:rsidRDefault="00E12AB2" w:rsidP="00E12AB2">
      <w:pPr>
        <w:pStyle w:val="ConsPlusNormal"/>
        <w:ind w:firstLine="709"/>
        <w:jc w:val="both"/>
      </w:pPr>
      <w:r w:rsidRPr="00E12AB2">
        <w:t>В соответствии</w:t>
      </w:r>
      <w:r w:rsidRPr="00E12AB2">
        <w:rPr>
          <w:b/>
        </w:rPr>
        <w:t xml:space="preserve"> </w:t>
      </w:r>
      <w:r w:rsidRPr="00E12AB2">
        <w:t>с</w:t>
      </w:r>
      <w:r w:rsidRPr="00E12AB2">
        <w:rPr>
          <w:b/>
        </w:rPr>
        <w:t xml:space="preserve"> </w:t>
      </w:r>
      <w:r w:rsidRPr="00E12AB2">
        <w:t>Положением о Контрольно-счетном органе муниципального образования «</w:t>
      </w:r>
      <w:r w:rsidR="00980636">
        <w:t xml:space="preserve">Муниципальный округ </w:t>
      </w:r>
      <w:r w:rsidRPr="00E12AB2">
        <w:t>Каракулинский район</w:t>
      </w:r>
      <w:r w:rsidR="00980636">
        <w:t xml:space="preserve"> Удмуртской Республики</w:t>
      </w:r>
      <w:r w:rsidRPr="00E12AB2">
        <w:t>», планом работы Контрольно-счетного органа муниципального образования «</w:t>
      </w:r>
      <w:r w:rsidR="00980636">
        <w:t xml:space="preserve">Муниципальный округ </w:t>
      </w:r>
      <w:r w:rsidR="00980636" w:rsidRPr="00E12AB2">
        <w:t>Каракулинский район</w:t>
      </w:r>
      <w:r w:rsidR="00980636">
        <w:t xml:space="preserve"> Удмуртской Республики</w:t>
      </w:r>
      <w:r w:rsidRPr="00E12AB2">
        <w:t>» на 202</w:t>
      </w:r>
      <w:r w:rsidR="00587E2D">
        <w:t>6</w:t>
      </w:r>
      <w:r w:rsidRPr="00E12AB2">
        <w:t xml:space="preserve"> год проведен анализ исполнения бюджета муниципального образования «</w:t>
      </w:r>
      <w:r w:rsidR="00980636">
        <w:t xml:space="preserve">Муниципальный округ </w:t>
      </w:r>
      <w:r w:rsidR="00980636" w:rsidRPr="00E12AB2">
        <w:t>Каракулинский район</w:t>
      </w:r>
      <w:r w:rsidR="00980636">
        <w:t xml:space="preserve"> Удмуртской Республики</w:t>
      </w:r>
      <w:r w:rsidRPr="00E12AB2">
        <w:t>» за 1 квартал 202</w:t>
      </w:r>
      <w:r w:rsidR="00587E2D">
        <w:t>6</w:t>
      </w:r>
      <w:r w:rsidRPr="00E12AB2">
        <w:t xml:space="preserve"> года на основании «Отчета об исполнении бюджета муниципального образования «</w:t>
      </w:r>
      <w:r w:rsidR="00980636">
        <w:t xml:space="preserve">Муниципальный округ </w:t>
      </w:r>
      <w:r w:rsidR="00980636" w:rsidRPr="00E12AB2">
        <w:t>Каракулинский район</w:t>
      </w:r>
      <w:r w:rsidR="00980636">
        <w:t xml:space="preserve"> Удмуртской Республики» за 1 квартал 202</w:t>
      </w:r>
      <w:r w:rsidR="00587E2D">
        <w:t>6</w:t>
      </w:r>
      <w:r w:rsidRPr="00E12AB2">
        <w:t xml:space="preserve"> года», муниципальных правовых актов и иных распорядительных документов, обосновывающие действия со средствами бюджета муниципального образования «</w:t>
      </w:r>
      <w:r w:rsidR="00980636">
        <w:t xml:space="preserve">Муниципальный округ </w:t>
      </w:r>
      <w:r w:rsidR="00980636" w:rsidRPr="00E12AB2">
        <w:t>Каракулинский район</w:t>
      </w:r>
      <w:r w:rsidR="00980636">
        <w:t xml:space="preserve"> Удмуртской Республики</w:t>
      </w:r>
      <w:r w:rsidRPr="00E12AB2">
        <w:t>».</w:t>
      </w:r>
    </w:p>
    <w:p w:rsidR="00E12AB2" w:rsidRDefault="00E12AB2" w:rsidP="001E6B2F">
      <w:pPr>
        <w:pStyle w:val="ConsPlusNormal"/>
      </w:pPr>
      <w:r w:rsidRPr="00D86FB2">
        <w:t>Проверяемый период: с 01.01.20</w:t>
      </w:r>
      <w:r>
        <w:t>2</w:t>
      </w:r>
      <w:r w:rsidR="00587E2D">
        <w:t>6</w:t>
      </w:r>
      <w:r>
        <w:t xml:space="preserve"> по 31</w:t>
      </w:r>
      <w:r w:rsidRPr="00D86FB2">
        <w:t>.</w:t>
      </w:r>
      <w:r>
        <w:t>03</w:t>
      </w:r>
      <w:r w:rsidRPr="00D86FB2">
        <w:t>.20</w:t>
      </w:r>
      <w:r w:rsidR="00980636">
        <w:t>2</w:t>
      </w:r>
      <w:r w:rsidR="00587E2D">
        <w:t>6</w:t>
      </w:r>
      <w:r>
        <w:t>г</w:t>
      </w:r>
    </w:p>
    <w:p w:rsidR="00E12AB2" w:rsidRPr="00580264" w:rsidRDefault="00E12AB2" w:rsidP="00E12AB2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264">
        <w:rPr>
          <w:rFonts w:ascii="Times New Roman" w:hAnsi="Times New Roman" w:cs="Times New Roman"/>
          <w:b/>
          <w:sz w:val="24"/>
          <w:szCs w:val="24"/>
        </w:rPr>
        <w:t>Объект анализа:</w:t>
      </w:r>
    </w:p>
    <w:p w:rsidR="00E12AB2" w:rsidRDefault="00E12AB2" w:rsidP="00E12AB2">
      <w:pPr>
        <w:pStyle w:val="ConsPlusNormal"/>
        <w:ind w:firstLine="709"/>
        <w:jc w:val="both"/>
      </w:pPr>
      <w:proofErr w:type="gramStart"/>
      <w:r>
        <w:t>Отчет об исполнении бюджета муниципального образования</w:t>
      </w:r>
      <w:r w:rsidRPr="00753951">
        <w:rPr>
          <w:color w:val="FF0000"/>
        </w:rPr>
        <w:t xml:space="preserve"> </w:t>
      </w:r>
      <w:r w:rsidRPr="00B44521">
        <w:t>«</w:t>
      </w:r>
      <w:r w:rsidR="00980636">
        <w:t xml:space="preserve">Муниципальный округ </w:t>
      </w:r>
      <w:r w:rsidR="00980636" w:rsidRPr="00E12AB2">
        <w:t>Каракулинский район</w:t>
      </w:r>
      <w:r w:rsidR="00980636">
        <w:t xml:space="preserve"> Удмуртской Республики</w:t>
      </w:r>
      <w:r w:rsidRPr="00B44521">
        <w:t>» за 1 квартал 20</w:t>
      </w:r>
      <w:r>
        <w:t>2</w:t>
      </w:r>
      <w:r w:rsidR="00587E2D">
        <w:t>6</w:t>
      </w:r>
      <w:r w:rsidRPr="00B44521">
        <w:t xml:space="preserve"> года утвержден постановлением Администрации муниципального образования «</w:t>
      </w:r>
      <w:r w:rsidR="0087205C">
        <w:t xml:space="preserve">Муниципальный округ </w:t>
      </w:r>
      <w:r w:rsidRPr="00B44521">
        <w:t>Каракулинский район</w:t>
      </w:r>
      <w:r w:rsidR="0087205C">
        <w:t xml:space="preserve"> Удмуртской Республики</w:t>
      </w:r>
      <w:r w:rsidRPr="00B44521">
        <w:t xml:space="preserve">» от </w:t>
      </w:r>
      <w:r w:rsidR="00587E2D">
        <w:t>08</w:t>
      </w:r>
      <w:r w:rsidR="00327612">
        <w:t xml:space="preserve"> </w:t>
      </w:r>
      <w:r w:rsidR="00444B03">
        <w:t>мая</w:t>
      </w:r>
      <w:r w:rsidR="00327612">
        <w:t xml:space="preserve"> 202</w:t>
      </w:r>
      <w:r w:rsidR="00587E2D">
        <w:t>6</w:t>
      </w:r>
      <w:r w:rsidR="001B5DF8">
        <w:t xml:space="preserve"> </w:t>
      </w:r>
      <w:r w:rsidR="00327612">
        <w:t>года №</w:t>
      </w:r>
      <w:r w:rsidR="001B5DF8">
        <w:t xml:space="preserve"> </w:t>
      </w:r>
      <w:r w:rsidR="00587E2D">
        <w:t>357</w:t>
      </w:r>
      <w:r>
        <w:t xml:space="preserve"> </w:t>
      </w:r>
      <w:r w:rsidRPr="001E6B2F">
        <w:t>и направлен в Совет депутатов муниципального образования «</w:t>
      </w:r>
      <w:r w:rsidR="00467CA4">
        <w:t xml:space="preserve">Муниципальный округ </w:t>
      </w:r>
      <w:r w:rsidR="00467CA4" w:rsidRPr="00E12AB2">
        <w:t>Каракулинский район</w:t>
      </w:r>
      <w:r w:rsidR="00467CA4">
        <w:t xml:space="preserve"> Удмуртской Республики</w:t>
      </w:r>
      <w:r w:rsidRPr="001E6B2F">
        <w:t xml:space="preserve">» в соответствии со </w:t>
      </w:r>
      <w:r w:rsidRPr="00327612">
        <w:t>ст.1</w:t>
      </w:r>
      <w:r w:rsidR="00327612">
        <w:t>8</w:t>
      </w:r>
      <w:r w:rsidRPr="001E6B2F">
        <w:t xml:space="preserve"> Положения о бюджетном процессе в муниципальном образовании «</w:t>
      </w:r>
      <w:r w:rsidR="00467CA4">
        <w:t>Муниципальный</w:t>
      </w:r>
      <w:proofErr w:type="gramEnd"/>
      <w:r w:rsidR="00467CA4">
        <w:t xml:space="preserve"> округ </w:t>
      </w:r>
      <w:r w:rsidR="00467CA4" w:rsidRPr="00E12AB2">
        <w:t>Каракулинский район</w:t>
      </w:r>
      <w:r w:rsidR="00467CA4">
        <w:t xml:space="preserve"> Удмуртской Республики</w:t>
      </w:r>
      <w:r w:rsidRPr="001E6B2F">
        <w:t>».</w:t>
      </w:r>
    </w:p>
    <w:p w:rsidR="00E12AB2" w:rsidRDefault="00E12AB2" w:rsidP="00E12AB2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264">
        <w:rPr>
          <w:rFonts w:ascii="Times New Roman" w:hAnsi="Times New Roman" w:cs="Times New Roman"/>
          <w:b/>
          <w:sz w:val="24"/>
          <w:szCs w:val="24"/>
        </w:rPr>
        <w:t xml:space="preserve">Исходные данные: </w:t>
      </w:r>
    </w:p>
    <w:p w:rsidR="001E6B2F" w:rsidRDefault="00032993" w:rsidP="00165D23">
      <w:pPr>
        <w:pStyle w:val="ConsPlusNormal"/>
        <w:ind w:firstLine="709"/>
        <w:jc w:val="both"/>
      </w:pPr>
      <w:bookmarkStart w:id="0" w:name="_GoBack"/>
      <w:r>
        <w:t>Постановление Администрации муниципального образования «</w:t>
      </w:r>
      <w:r w:rsidR="00467CA4">
        <w:t xml:space="preserve">Муниципальный округ </w:t>
      </w:r>
      <w:r w:rsidR="00467CA4" w:rsidRPr="00E12AB2">
        <w:t>Каракулинский район</w:t>
      </w:r>
      <w:r w:rsidR="00467CA4">
        <w:t xml:space="preserve"> Удмуртской Республики</w:t>
      </w:r>
      <w:r>
        <w:t xml:space="preserve">» от </w:t>
      </w:r>
      <w:r w:rsidR="00587E2D">
        <w:t>08</w:t>
      </w:r>
      <w:r w:rsidR="00327612">
        <w:t xml:space="preserve"> </w:t>
      </w:r>
      <w:r w:rsidR="00444B03">
        <w:t>мая</w:t>
      </w:r>
      <w:r w:rsidR="00327612">
        <w:t xml:space="preserve"> 202</w:t>
      </w:r>
      <w:r w:rsidR="00587E2D">
        <w:t>6</w:t>
      </w:r>
      <w:r w:rsidR="00327612">
        <w:t xml:space="preserve"> года №</w:t>
      </w:r>
      <w:r w:rsidR="001B5DF8">
        <w:t xml:space="preserve"> </w:t>
      </w:r>
      <w:r w:rsidR="00587E2D">
        <w:t>357</w:t>
      </w:r>
      <w:r>
        <w:t>.</w:t>
      </w:r>
    </w:p>
    <w:p w:rsidR="00E12AB2" w:rsidRPr="00D62DEC" w:rsidRDefault="00E12AB2" w:rsidP="00165D23">
      <w:pPr>
        <w:pStyle w:val="ConsPlusNormal"/>
        <w:jc w:val="both"/>
      </w:pPr>
      <w:r w:rsidRPr="00D62DEC">
        <w:t xml:space="preserve">Источник исходных данных: Администрация </w:t>
      </w:r>
      <w:r w:rsidR="00032993">
        <w:t>муниципального образования «</w:t>
      </w:r>
      <w:r w:rsidR="00980636">
        <w:t xml:space="preserve">Муниципальный округ </w:t>
      </w:r>
      <w:r w:rsidR="00980636" w:rsidRPr="00E12AB2">
        <w:t>Каракулинский район</w:t>
      </w:r>
      <w:r w:rsidR="00980636">
        <w:t xml:space="preserve"> Удмуртской Республики</w:t>
      </w:r>
      <w:r w:rsidR="00032993">
        <w:t>»</w:t>
      </w:r>
      <w:r w:rsidRPr="00D62DEC">
        <w:t xml:space="preserve">, Управление финансов </w:t>
      </w:r>
      <w:r w:rsidR="00032993">
        <w:t xml:space="preserve"> Администрации муниципального образования «</w:t>
      </w:r>
      <w:r w:rsidR="00980636">
        <w:t xml:space="preserve">Муниципальный округ </w:t>
      </w:r>
      <w:r w:rsidR="00980636" w:rsidRPr="00E12AB2">
        <w:t>Каракулинский район</w:t>
      </w:r>
      <w:r w:rsidR="00980636">
        <w:t xml:space="preserve"> Удмуртской Республики</w:t>
      </w:r>
      <w:r w:rsidR="00032993">
        <w:t>»</w:t>
      </w:r>
      <w:r w:rsidRPr="00D62DEC">
        <w:t>, адрес местонахождения и осуществления деятельности: 4279</w:t>
      </w:r>
      <w:r w:rsidR="00032993">
        <w:t>2</w:t>
      </w:r>
      <w:r w:rsidRPr="00D62DEC">
        <w:t xml:space="preserve">0, Удмуртская Республика, </w:t>
      </w:r>
      <w:r w:rsidR="00032993">
        <w:t>с</w:t>
      </w:r>
      <w:r w:rsidRPr="00D62DEC">
        <w:t xml:space="preserve">. </w:t>
      </w:r>
      <w:r w:rsidR="00032993">
        <w:t>Каракулино</w:t>
      </w:r>
      <w:r w:rsidRPr="00D62DEC">
        <w:t xml:space="preserve">, </w:t>
      </w:r>
      <w:r w:rsidR="00032993">
        <w:t>ул. Каманина</w:t>
      </w:r>
      <w:r w:rsidRPr="00D62DEC">
        <w:t xml:space="preserve">, </w:t>
      </w:r>
      <w:r w:rsidR="00032993">
        <w:t>10</w:t>
      </w:r>
      <w:r w:rsidRPr="00D62DEC">
        <w:t>.</w:t>
      </w:r>
    </w:p>
    <w:bookmarkEnd w:id="0"/>
    <w:p w:rsidR="00E12AB2" w:rsidRPr="00050A61" w:rsidRDefault="00E12AB2" w:rsidP="00E12AB2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0971">
        <w:rPr>
          <w:rFonts w:ascii="Times New Roman" w:hAnsi="Times New Roman" w:cs="Times New Roman"/>
          <w:b/>
          <w:sz w:val="24"/>
          <w:szCs w:val="24"/>
        </w:rPr>
        <w:t>Порядок</w:t>
      </w:r>
      <w:r w:rsidRPr="00050A61">
        <w:rPr>
          <w:rFonts w:ascii="Times New Roman" w:hAnsi="Times New Roman" w:cs="Times New Roman"/>
          <w:b/>
          <w:sz w:val="24"/>
          <w:szCs w:val="24"/>
        </w:rPr>
        <w:t xml:space="preserve"> осуществления бюджетного процесса в </w:t>
      </w:r>
      <w:r w:rsidR="00A0489F">
        <w:rPr>
          <w:rFonts w:ascii="Times New Roman" w:hAnsi="Times New Roman" w:cs="Times New Roman"/>
          <w:b/>
          <w:sz w:val="24"/>
          <w:szCs w:val="24"/>
        </w:rPr>
        <w:t>муниципальном образовании</w:t>
      </w:r>
      <w:r w:rsidR="00C02AAB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467CA4">
        <w:rPr>
          <w:rFonts w:ascii="Times New Roman" w:hAnsi="Times New Roman" w:cs="Times New Roman"/>
          <w:b/>
          <w:sz w:val="24"/>
          <w:szCs w:val="24"/>
        </w:rPr>
        <w:t xml:space="preserve">Муниципальный округ </w:t>
      </w:r>
      <w:r w:rsidR="00C02AAB">
        <w:rPr>
          <w:rFonts w:ascii="Times New Roman" w:hAnsi="Times New Roman" w:cs="Times New Roman"/>
          <w:b/>
          <w:sz w:val="24"/>
          <w:szCs w:val="24"/>
        </w:rPr>
        <w:t>Каракулинский район</w:t>
      </w:r>
      <w:r w:rsidR="00467CA4">
        <w:rPr>
          <w:rFonts w:ascii="Times New Roman" w:hAnsi="Times New Roman" w:cs="Times New Roman"/>
          <w:b/>
          <w:sz w:val="24"/>
          <w:szCs w:val="24"/>
        </w:rPr>
        <w:t xml:space="preserve"> Удмуртской Республики</w:t>
      </w:r>
      <w:r w:rsidR="00C02AAB">
        <w:rPr>
          <w:rFonts w:ascii="Times New Roman" w:hAnsi="Times New Roman" w:cs="Times New Roman"/>
          <w:b/>
          <w:sz w:val="24"/>
          <w:szCs w:val="24"/>
        </w:rPr>
        <w:t>»</w:t>
      </w:r>
      <w:r w:rsidR="00467C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0A61">
        <w:rPr>
          <w:rFonts w:ascii="Times New Roman" w:hAnsi="Times New Roman" w:cs="Times New Roman"/>
          <w:b/>
          <w:sz w:val="24"/>
          <w:szCs w:val="24"/>
        </w:rPr>
        <w:t>в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587E2D">
        <w:rPr>
          <w:rFonts w:ascii="Times New Roman" w:hAnsi="Times New Roman" w:cs="Times New Roman"/>
          <w:b/>
          <w:sz w:val="24"/>
          <w:szCs w:val="24"/>
        </w:rPr>
        <w:t>6</w:t>
      </w:r>
      <w:r w:rsidRPr="00050A61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12AB2" w:rsidRPr="00050A61" w:rsidRDefault="00E12AB2" w:rsidP="00E12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A61">
        <w:rPr>
          <w:rFonts w:ascii="Times New Roman" w:hAnsi="Times New Roman" w:cs="Times New Roman"/>
          <w:sz w:val="24"/>
          <w:szCs w:val="24"/>
        </w:rPr>
        <w:t>В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87E2D">
        <w:rPr>
          <w:rFonts w:ascii="Times New Roman" w:hAnsi="Times New Roman" w:cs="Times New Roman"/>
          <w:sz w:val="24"/>
          <w:szCs w:val="24"/>
        </w:rPr>
        <w:t>6</w:t>
      </w:r>
      <w:r w:rsidRPr="00050A61">
        <w:rPr>
          <w:rFonts w:ascii="Times New Roman" w:hAnsi="Times New Roman" w:cs="Times New Roman"/>
          <w:sz w:val="24"/>
          <w:szCs w:val="24"/>
        </w:rPr>
        <w:t xml:space="preserve"> году бюджетный процесс в </w:t>
      </w:r>
      <w:r w:rsidR="00A0489F">
        <w:rPr>
          <w:rFonts w:ascii="Times New Roman" w:hAnsi="Times New Roman" w:cs="Times New Roman"/>
          <w:sz w:val="24"/>
          <w:szCs w:val="24"/>
        </w:rPr>
        <w:t>муниципальном образовании</w:t>
      </w:r>
      <w:r w:rsidR="00C02AAB">
        <w:rPr>
          <w:rFonts w:ascii="Times New Roman" w:hAnsi="Times New Roman" w:cs="Times New Roman"/>
          <w:sz w:val="24"/>
          <w:szCs w:val="24"/>
        </w:rPr>
        <w:t xml:space="preserve"> </w:t>
      </w:r>
      <w:r w:rsidR="00C02AAB" w:rsidRPr="00AA4AD1">
        <w:rPr>
          <w:rFonts w:ascii="Times New Roman" w:hAnsi="Times New Roman" w:cs="Times New Roman"/>
          <w:sz w:val="24"/>
          <w:szCs w:val="24"/>
        </w:rPr>
        <w:t>«</w:t>
      </w:r>
      <w:r w:rsidR="00980636" w:rsidRPr="00AA4AD1">
        <w:rPr>
          <w:rFonts w:ascii="Times New Roman" w:hAnsi="Times New Roman" w:cs="Times New Roman"/>
          <w:sz w:val="24"/>
          <w:szCs w:val="24"/>
        </w:rPr>
        <w:t>Муниципальный округ Каракулинский район Удмуртской Республики</w:t>
      </w:r>
      <w:r w:rsidR="00C02AAB" w:rsidRPr="00AA4AD1">
        <w:rPr>
          <w:rFonts w:ascii="Times New Roman" w:hAnsi="Times New Roman" w:cs="Times New Roman"/>
          <w:sz w:val="24"/>
          <w:szCs w:val="24"/>
        </w:rPr>
        <w:t>»</w:t>
      </w:r>
      <w:r w:rsidRPr="00AA4AD1">
        <w:rPr>
          <w:rFonts w:ascii="Times New Roman" w:hAnsi="Times New Roman" w:cs="Times New Roman"/>
          <w:sz w:val="24"/>
          <w:szCs w:val="24"/>
        </w:rPr>
        <w:t xml:space="preserve"> </w:t>
      </w:r>
      <w:r w:rsidRPr="00050A61">
        <w:rPr>
          <w:rFonts w:ascii="Times New Roman" w:hAnsi="Times New Roman" w:cs="Times New Roman"/>
          <w:sz w:val="24"/>
          <w:szCs w:val="24"/>
        </w:rPr>
        <w:t xml:space="preserve">осуществляется в соответствии </w:t>
      </w:r>
      <w:proofErr w:type="gramStart"/>
      <w:r w:rsidRPr="00050A6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50A61">
        <w:rPr>
          <w:rFonts w:ascii="Times New Roman" w:hAnsi="Times New Roman" w:cs="Times New Roman"/>
          <w:sz w:val="24"/>
          <w:szCs w:val="24"/>
        </w:rPr>
        <w:t>:</w:t>
      </w:r>
    </w:p>
    <w:p w:rsidR="00E12AB2" w:rsidRPr="00050A61" w:rsidRDefault="00E12AB2" w:rsidP="00E12AB2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A61">
        <w:rPr>
          <w:rFonts w:ascii="Times New Roman" w:hAnsi="Times New Roman" w:cs="Times New Roman"/>
          <w:sz w:val="24"/>
          <w:szCs w:val="24"/>
        </w:rPr>
        <w:t xml:space="preserve">Бюджетным Кодексом Российской Федерации (далее БК РФ), </w:t>
      </w:r>
    </w:p>
    <w:p w:rsidR="00E12AB2" w:rsidRPr="00050A61" w:rsidRDefault="00E12AB2" w:rsidP="00E12AB2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A61">
        <w:rPr>
          <w:rFonts w:ascii="Times New Roman" w:hAnsi="Times New Roman" w:cs="Times New Roman"/>
          <w:sz w:val="24"/>
          <w:szCs w:val="24"/>
        </w:rPr>
        <w:lastRenderedPageBreak/>
        <w:t>Федеральным законом «Об общих принципах организации органо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050A61">
        <w:rPr>
          <w:rFonts w:ascii="Times New Roman" w:hAnsi="Times New Roman" w:cs="Times New Roman"/>
          <w:sz w:val="24"/>
          <w:szCs w:val="24"/>
        </w:rPr>
        <w:t xml:space="preserve"> местного самоуправления в Российской Федерации» от 06.10.2003 № 131-ФЗ, </w:t>
      </w:r>
    </w:p>
    <w:p w:rsidR="00E12AB2" w:rsidRPr="00050A61" w:rsidRDefault="00E12AB2" w:rsidP="00E12AB2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A61">
        <w:rPr>
          <w:rFonts w:ascii="Times New Roman" w:hAnsi="Times New Roman" w:cs="Times New Roman"/>
          <w:sz w:val="24"/>
          <w:szCs w:val="24"/>
        </w:rPr>
        <w:t>Законами УР:</w:t>
      </w:r>
    </w:p>
    <w:p w:rsidR="00E12AB2" w:rsidRDefault="00E12AB2" w:rsidP="00E12AB2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50A61">
        <w:rPr>
          <w:rFonts w:ascii="Times New Roman" w:hAnsi="Times New Roman" w:cs="Times New Roman"/>
          <w:sz w:val="24"/>
          <w:szCs w:val="24"/>
        </w:rPr>
        <w:t xml:space="preserve">от </w:t>
      </w:r>
      <w:r w:rsidR="00497F5A">
        <w:rPr>
          <w:rFonts w:ascii="Times New Roman" w:hAnsi="Times New Roman" w:cs="Times New Roman"/>
          <w:sz w:val="24"/>
          <w:szCs w:val="24"/>
        </w:rPr>
        <w:t>21</w:t>
      </w:r>
      <w:r w:rsidRPr="00050A61">
        <w:rPr>
          <w:rFonts w:ascii="Times New Roman" w:hAnsi="Times New Roman" w:cs="Times New Roman"/>
          <w:sz w:val="24"/>
          <w:szCs w:val="24"/>
        </w:rPr>
        <w:t>.</w:t>
      </w:r>
      <w:r w:rsidR="00497F5A">
        <w:rPr>
          <w:rFonts w:ascii="Times New Roman" w:hAnsi="Times New Roman" w:cs="Times New Roman"/>
          <w:sz w:val="24"/>
          <w:szCs w:val="24"/>
        </w:rPr>
        <w:t>11</w:t>
      </w:r>
      <w:r w:rsidRPr="00050A61">
        <w:rPr>
          <w:rFonts w:ascii="Times New Roman" w:hAnsi="Times New Roman" w:cs="Times New Roman"/>
          <w:sz w:val="24"/>
          <w:szCs w:val="24"/>
        </w:rPr>
        <w:t>.200</w:t>
      </w:r>
      <w:r w:rsidR="00497F5A">
        <w:rPr>
          <w:rFonts w:ascii="Times New Roman" w:hAnsi="Times New Roman" w:cs="Times New Roman"/>
          <w:sz w:val="24"/>
          <w:szCs w:val="24"/>
        </w:rPr>
        <w:t>6</w:t>
      </w:r>
      <w:r w:rsidRPr="00050A61">
        <w:rPr>
          <w:rFonts w:ascii="Times New Roman" w:hAnsi="Times New Roman" w:cs="Times New Roman"/>
          <w:sz w:val="24"/>
          <w:szCs w:val="24"/>
        </w:rPr>
        <w:t xml:space="preserve"> № </w:t>
      </w:r>
      <w:r w:rsidR="00497F5A">
        <w:rPr>
          <w:rFonts w:ascii="Times New Roman" w:hAnsi="Times New Roman" w:cs="Times New Roman"/>
          <w:sz w:val="24"/>
          <w:szCs w:val="24"/>
        </w:rPr>
        <w:t>5</w:t>
      </w:r>
      <w:r w:rsidRPr="00050A61">
        <w:rPr>
          <w:rFonts w:ascii="Times New Roman" w:hAnsi="Times New Roman" w:cs="Times New Roman"/>
          <w:sz w:val="24"/>
          <w:szCs w:val="24"/>
        </w:rPr>
        <w:t>2-РЗ</w:t>
      </w:r>
      <w:r w:rsidR="00154ABE">
        <w:rPr>
          <w:rFonts w:ascii="Times New Roman" w:hAnsi="Times New Roman" w:cs="Times New Roman"/>
          <w:sz w:val="24"/>
          <w:szCs w:val="24"/>
        </w:rPr>
        <w:t xml:space="preserve"> </w:t>
      </w:r>
      <w:r w:rsidR="00154ABE" w:rsidRPr="001C7DCD">
        <w:rPr>
          <w:rFonts w:ascii="Times New Roman" w:hAnsi="Times New Roman" w:cs="Times New Roman"/>
          <w:sz w:val="24"/>
          <w:szCs w:val="24"/>
        </w:rPr>
        <w:t xml:space="preserve">(ред. от </w:t>
      </w:r>
      <w:r w:rsidR="00497F5A">
        <w:rPr>
          <w:rFonts w:ascii="Times New Roman" w:hAnsi="Times New Roman" w:cs="Times New Roman"/>
          <w:sz w:val="24"/>
          <w:szCs w:val="24"/>
        </w:rPr>
        <w:t>24</w:t>
      </w:r>
      <w:r w:rsidR="00154ABE" w:rsidRPr="001C7DCD">
        <w:rPr>
          <w:rFonts w:ascii="Times New Roman" w:hAnsi="Times New Roman" w:cs="Times New Roman"/>
          <w:sz w:val="24"/>
          <w:szCs w:val="24"/>
        </w:rPr>
        <w:t>.</w:t>
      </w:r>
      <w:r w:rsidR="00497F5A">
        <w:rPr>
          <w:rFonts w:ascii="Times New Roman" w:hAnsi="Times New Roman" w:cs="Times New Roman"/>
          <w:sz w:val="24"/>
          <w:szCs w:val="24"/>
        </w:rPr>
        <w:t>02</w:t>
      </w:r>
      <w:r w:rsidR="00154ABE" w:rsidRPr="001C7DCD">
        <w:rPr>
          <w:rFonts w:ascii="Times New Roman" w:hAnsi="Times New Roman" w:cs="Times New Roman"/>
          <w:sz w:val="24"/>
          <w:szCs w:val="24"/>
        </w:rPr>
        <w:t>.202</w:t>
      </w:r>
      <w:r w:rsidR="00497F5A">
        <w:rPr>
          <w:rFonts w:ascii="Times New Roman" w:hAnsi="Times New Roman" w:cs="Times New Roman"/>
          <w:sz w:val="24"/>
          <w:szCs w:val="24"/>
        </w:rPr>
        <w:t>6</w:t>
      </w:r>
      <w:r w:rsidR="00154ABE" w:rsidRPr="001C7DCD">
        <w:rPr>
          <w:rFonts w:ascii="Times New Roman" w:hAnsi="Times New Roman" w:cs="Times New Roman"/>
          <w:sz w:val="24"/>
          <w:szCs w:val="24"/>
        </w:rPr>
        <w:t xml:space="preserve">) </w:t>
      </w:r>
      <w:r w:rsidRPr="00050A61">
        <w:rPr>
          <w:rFonts w:ascii="Times New Roman" w:hAnsi="Times New Roman" w:cs="Times New Roman"/>
          <w:sz w:val="24"/>
          <w:szCs w:val="24"/>
        </w:rPr>
        <w:t>«О регулировании межбюджетных отношений в Удмуртской Республике»,</w:t>
      </w:r>
    </w:p>
    <w:p w:rsidR="00E12AB2" w:rsidRPr="001C7DCD" w:rsidRDefault="00E12AB2" w:rsidP="00E12AB2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C7DCD">
        <w:rPr>
          <w:rFonts w:ascii="Times New Roman" w:hAnsi="Times New Roman" w:cs="Times New Roman"/>
          <w:sz w:val="24"/>
          <w:szCs w:val="24"/>
        </w:rPr>
        <w:t xml:space="preserve">от </w:t>
      </w:r>
      <w:r w:rsidR="00497F5A">
        <w:rPr>
          <w:rFonts w:ascii="Times New Roman" w:hAnsi="Times New Roman" w:cs="Times New Roman"/>
          <w:sz w:val="24"/>
          <w:szCs w:val="24"/>
        </w:rPr>
        <w:t>19</w:t>
      </w:r>
      <w:r w:rsidRPr="001C7DCD">
        <w:rPr>
          <w:rFonts w:ascii="Times New Roman" w:hAnsi="Times New Roman" w:cs="Times New Roman"/>
          <w:sz w:val="24"/>
          <w:szCs w:val="24"/>
        </w:rPr>
        <w:t>.12.202</w:t>
      </w:r>
      <w:r w:rsidR="00497F5A">
        <w:rPr>
          <w:rFonts w:ascii="Times New Roman" w:hAnsi="Times New Roman" w:cs="Times New Roman"/>
          <w:sz w:val="24"/>
          <w:szCs w:val="24"/>
        </w:rPr>
        <w:t>5</w:t>
      </w:r>
      <w:r w:rsidRPr="001C7DCD">
        <w:rPr>
          <w:rFonts w:ascii="Times New Roman" w:hAnsi="Times New Roman" w:cs="Times New Roman"/>
          <w:sz w:val="24"/>
          <w:szCs w:val="24"/>
        </w:rPr>
        <w:t xml:space="preserve"> N </w:t>
      </w:r>
      <w:r w:rsidR="001E00B6">
        <w:rPr>
          <w:rFonts w:ascii="Times New Roman" w:hAnsi="Times New Roman" w:cs="Times New Roman"/>
          <w:sz w:val="24"/>
          <w:szCs w:val="24"/>
        </w:rPr>
        <w:t>77</w:t>
      </w:r>
      <w:r w:rsidRPr="001C7DCD">
        <w:rPr>
          <w:rFonts w:ascii="Times New Roman" w:hAnsi="Times New Roman" w:cs="Times New Roman"/>
          <w:sz w:val="24"/>
          <w:szCs w:val="24"/>
        </w:rPr>
        <w:t xml:space="preserve">-РЗ (ред. от </w:t>
      </w:r>
      <w:r w:rsidR="00497F5A">
        <w:rPr>
          <w:rFonts w:ascii="Times New Roman" w:hAnsi="Times New Roman" w:cs="Times New Roman"/>
          <w:sz w:val="24"/>
          <w:szCs w:val="24"/>
        </w:rPr>
        <w:t>24</w:t>
      </w:r>
      <w:r w:rsidRPr="001C7DCD">
        <w:rPr>
          <w:rFonts w:ascii="Times New Roman" w:hAnsi="Times New Roman" w:cs="Times New Roman"/>
          <w:sz w:val="24"/>
          <w:szCs w:val="24"/>
        </w:rPr>
        <w:t>.0</w:t>
      </w:r>
      <w:r w:rsidR="00497F5A">
        <w:rPr>
          <w:rFonts w:ascii="Times New Roman" w:hAnsi="Times New Roman" w:cs="Times New Roman"/>
          <w:sz w:val="24"/>
          <w:szCs w:val="24"/>
        </w:rPr>
        <w:t>2</w:t>
      </w:r>
      <w:r w:rsidRPr="001C7DCD">
        <w:rPr>
          <w:rFonts w:ascii="Times New Roman" w:hAnsi="Times New Roman" w:cs="Times New Roman"/>
          <w:sz w:val="24"/>
          <w:szCs w:val="24"/>
        </w:rPr>
        <w:t>.202</w:t>
      </w:r>
      <w:r w:rsidR="00497F5A">
        <w:rPr>
          <w:rFonts w:ascii="Times New Roman" w:hAnsi="Times New Roman" w:cs="Times New Roman"/>
          <w:sz w:val="24"/>
          <w:szCs w:val="24"/>
        </w:rPr>
        <w:t>6</w:t>
      </w:r>
      <w:r w:rsidRPr="001C7DCD">
        <w:rPr>
          <w:rFonts w:ascii="Times New Roman" w:hAnsi="Times New Roman" w:cs="Times New Roman"/>
          <w:sz w:val="24"/>
          <w:szCs w:val="24"/>
        </w:rPr>
        <w:t>) "О бюджете Удмуртской Республики на 202</w:t>
      </w:r>
      <w:r w:rsidR="00587E2D">
        <w:rPr>
          <w:rFonts w:ascii="Times New Roman" w:hAnsi="Times New Roman" w:cs="Times New Roman"/>
          <w:sz w:val="24"/>
          <w:szCs w:val="24"/>
        </w:rPr>
        <w:t>6</w:t>
      </w:r>
      <w:r w:rsidRPr="001C7DCD">
        <w:rPr>
          <w:rFonts w:ascii="Times New Roman" w:hAnsi="Times New Roman" w:cs="Times New Roman"/>
          <w:sz w:val="24"/>
          <w:szCs w:val="24"/>
        </w:rPr>
        <w:t xml:space="preserve"> год и на пла</w:t>
      </w:r>
      <w:r>
        <w:rPr>
          <w:rFonts w:ascii="Times New Roman" w:hAnsi="Times New Roman" w:cs="Times New Roman"/>
          <w:sz w:val="24"/>
          <w:szCs w:val="24"/>
        </w:rPr>
        <w:t>новый период 202</w:t>
      </w:r>
      <w:r w:rsidR="00587E2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587E2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годов".</w:t>
      </w:r>
    </w:p>
    <w:p w:rsidR="00F43261" w:rsidRPr="00F43261" w:rsidRDefault="00E12AB2" w:rsidP="00F43261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9F">
        <w:rPr>
          <w:rFonts w:ascii="Times New Roman" w:hAnsi="Times New Roman" w:cs="Times New Roman"/>
          <w:sz w:val="24"/>
          <w:szCs w:val="24"/>
        </w:rPr>
        <w:t>Уставом</w:t>
      </w:r>
      <w:r w:rsidRPr="00050A61">
        <w:rPr>
          <w:rFonts w:ascii="Times New Roman" w:hAnsi="Times New Roman" w:cs="Times New Roman"/>
          <w:sz w:val="24"/>
          <w:szCs w:val="24"/>
        </w:rPr>
        <w:t xml:space="preserve"> </w:t>
      </w:r>
      <w:r w:rsidR="00A0489F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050A61">
        <w:rPr>
          <w:rFonts w:ascii="Times New Roman" w:hAnsi="Times New Roman" w:cs="Times New Roman"/>
          <w:sz w:val="24"/>
          <w:szCs w:val="24"/>
        </w:rPr>
        <w:t xml:space="preserve"> </w:t>
      </w:r>
      <w:r w:rsidR="0062139D">
        <w:rPr>
          <w:rFonts w:ascii="Times New Roman" w:hAnsi="Times New Roman" w:cs="Times New Roman"/>
          <w:sz w:val="24"/>
          <w:szCs w:val="24"/>
        </w:rPr>
        <w:t>«</w:t>
      </w:r>
      <w:r w:rsidR="00980636" w:rsidRPr="0062139D">
        <w:rPr>
          <w:rFonts w:ascii="Times New Roman" w:hAnsi="Times New Roman" w:cs="Times New Roman"/>
          <w:sz w:val="24"/>
          <w:szCs w:val="24"/>
        </w:rPr>
        <w:t>Муниципальный округ Каракулинский район Удмуртской Республики</w:t>
      </w:r>
      <w:r w:rsidR="0062139D" w:rsidRPr="0062139D">
        <w:rPr>
          <w:rFonts w:ascii="Times New Roman" w:hAnsi="Times New Roman" w:cs="Times New Roman"/>
          <w:sz w:val="24"/>
          <w:szCs w:val="24"/>
        </w:rPr>
        <w:t>»</w:t>
      </w:r>
      <w:r w:rsidR="00F43261" w:rsidRPr="00F43261">
        <w:rPr>
          <w:rFonts w:ascii="Times New Roman" w:hAnsi="Times New Roman" w:cs="Times New Roman"/>
          <w:sz w:val="24"/>
          <w:szCs w:val="24"/>
        </w:rPr>
        <w:t xml:space="preserve">, утвержденным </w:t>
      </w:r>
      <w:r w:rsidR="000840B2">
        <w:rPr>
          <w:rFonts w:ascii="Times New Roman" w:hAnsi="Times New Roman" w:cs="Times New Roman"/>
          <w:sz w:val="24"/>
          <w:szCs w:val="24"/>
        </w:rPr>
        <w:t>решением</w:t>
      </w:r>
      <w:r w:rsidR="00F43261" w:rsidRPr="00F43261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0840B2">
        <w:rPr>
          <w:rFonts w:ascii="Times New Roman" w:hAnsi="Times New Roman" w:cs="Times New Roman"/>
          <w:sz w:val="24"/>
          <w:szCs w:val="24"/>
        </w:rPr>
        <w:t>а</w:t>
      </w:r>
      <w:r w:rsidR="00F43261" w:rsidRPr="00F43261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0840B2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0840B2" w:rsidRPr="0062139D">
        <w:rPr>
          <w:rFonts w:ascii="Times New Roman" w:hAnsi="Times New Roman" w:cs="Times New Roman"/>
          <w:sz w:val="24"/>
          <w:szCs w:val="24"/>
        </w:rPr>
        <w:t>Муниципальный округ Каракулинский район Удмуртской Республики</w:t>
      </w:r>
      <w:r w:rsidR="000840B2">
        <w:rPr>
          <w:rFonts w:ascii="Times New Roman" w:hAnsi="Times New Roman" w:cs="Times New Roman"/>
          <w:sz w:val="24"/>
          <w:szCs w:val="24"/>
        </w:rPr>
        <w:t xml:space="preserve">» </w:t>
      </w:r>
      <w:r w:rsidR="00F43261" w:rsidRPr="00F43261">
        <w:rPr>
          <w:rFonts w:ascii="Times New Roman" w:hAnsi="Times New Roman" w:cs="Times New Roman"/>
          <w:sz w:val="24"/>
          <w:szCs w:val="24"/>
        </w:rPr>
        <w:t xml:space="preserve">от </w:t>
      </w:r>
      <w:r w:rsidR="000840B2">
        <w:rPr>
          <w:rFonts w:ascii="Times New Roman" w:hAnsi="Times New Roman" w:cs="Times New Roman"/>
          <w:sz w:val="24"/>
          <w:szCs w:val="24"/>
        </w:rPr>
        <w:t>14</w:t>
      </w:r>
      <w:r w:rsidR="00F43261" w:rsidRPr="00F43261">
        <w:rPr>
          <w:rFonts w:ascii="Times New Roman" w:hAnsi="Times New Roman" w:cs="Times New Roman"/>
          <w:sz w:val="24"/>
          <w:szCs w:val="24"/>
        </w:rPr>
        <w:t xml:space="preserve"> </w:t>
      </w:r>
      <w:r w:rsidR="000840B2">
        <w:rPr>
          <w:rFonts w:ascii="Times New Roman" w:hAnsi="Times New Roman" w:cs="Times New Roman"/>
          <w:sz w:val="24"/>
          <w:szCs w:val="24"/>
        </w:rPr>
        <w:t>декабря</w:t>
      </w:r>
      <w:r w:rsidR="00F43261" w:rsidRPr="00F43261">
        <w:rPr>
          <w:rFonts w:ascii="Times New Roman" w:hAnsi="Times New Roman" w:cs="Times New Roman"/>
          <w:sz w:val="24"/>
          <w:szCs w:val="24"/>
        </w:rPr>
        <w:t xml:space="preserve"> 2</w:t>
      </w:r>
      <w:r w:rsidR="000840B2">
        <w:rPr>
          <w:rFonts w:ascii="Times New Roman" w:hAnsi="Times New Roman" w:cs="Times New Roman"/>
          <w:sz w:val="24"/>
          <w:szCs w:val="24"/>
        </w:rPr>
        <w:t>021</w:t>
      </w:r>
      <w:r w:rsidR="00F43261" w:rsidRPr="00F43261">
        <w:rPr>
          <w:rFonts w:ascii="Times New Roman" w:hAnsi="Times New Roman" w:cs="Times New Roman"/>
          <w:sz w:val="24"/>
          <w:szCs w:val="24"/>
        </w:rPr>
        <w:t xml:space="preserve"> г. N 5/</w:t>
      </w:r>
      <w:r w:rsidR="000840B2">
        <w:rPr>
          <w:rFonts w:ascii="Times New Roman" w:hAnsi="Times New Roman" w:cs="Times New Roman"/>
          <w:sz w:val="24"/>
          <w:szCs w:val="24"/>
        </w:rPr>
        <w:t>6</w:t>
      </w:r>
      <w:r w:rsidR="00F43261" w:rsidRPr="00F43261">
        <w:rPr>
          <w:rFonts w:ascii="Times New Roman" w:hAnsi="Times New Roman" w:cs="Times New Roman"/>
          <w:sz w:val="24"/>
          <w:szCs w:val="24"/>
        </w:rPr>
        <w:t>-</w:t>
      </w:r>
      <w:r w:rsidR="000840B2">
        <w:rPr>
          <w:rFonts w:ascii="Times New Roman" w:hAnsi="Times New Roman" w:cs="Times New Roman"/>
          <w:sz w:val="24"/>
          <w:szCs w:val="24"/>
        </w:rPr>
        <w:t>21</w:t>
      </w:r>
    </w:p>
    <w:p w:rsidR="00E12AB2" w:rsidRPr="00050A61" w:rsidRDefault="00F43261" w:rsidP="00F43261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261">
        <w:rPr>
          <w:rFonts w:ascii="Times New Roman" w:hAnsi="Times New Roman" w:cs="Times New Roman"/>
          <w:sz w:val="24"/>
          <w:szCs w:val="24"/>
        </w:rPr>
        <w:t xml:space="preserve">Зарегистрирован </w:t>
      </w:r>
      <w:r w:rsidR="00AD1765">
        <w:rPr>
          <w:rFonts w:ascii="Times New Roman" w:hAnsi="Times New Roman" w:cs="Times New Roman"/>
          <w:sz w:val="24"/>
          <w:szCs w:val="24"/>
        </w:rPr>
        <w:t xml:space="preserve">Управлением Министерства юстиции Российской Федерации по </w:t>
      </w:r>
      <w:r w:rsidRPr="00F43261">
        <w:rPr>
          <w:rFonts w:ascii="Times New Roman" w:hAnsi="Times New Roman" w:cs="Times New Roman"/>
          <w:sz w:val="24"/>
          <w:szCs w:val="24"/>
        </w:rPr>
        <w:t xml:space="preserve">Удмуртской Республики от </w:t>
      </w:r>
      <w:r w:rsidR="00AD1765">
        <w:rPr>
          <w:rFonts w:ascii="Times New Roman" w:hAnsi="Times New Roman" w:cs="Times New Roman"/>
          <w:sz w:val="24"/>
          <w:szCs w:val="24"/>
        </w:rPr>
        <w:t>17 декабря 2021</w:t>
      </w:r>
      <w:r w:rsidRPr="00F43261">
        <w:rPr>
          <w:rFonts w:ascii="Times New Roman" w:hAnsi="Times New Roman" w:cs="Times New Roman"/>
          <w:sz w:val="24"/>
          <w:szCs w:val="24"/>
        </w:rPr>
        <w:t xml:space="preserve"> г. N </w:t>
      </w:r>
      <w:r w:rsidR="00AD1765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AD1765" w:rsidRPr="00542C94">
        <w:rPr>
          <w:rFonts w:ascii="Times New Roman" w:hAnsi="Times New Roman" w:cs="Times New Roman"/>
          <w:sz w:val="24"/>
          <w:szCs w:val="24"/>
        </w:rPr>
        <w:t>187250002021001</w:t>
      </w:r>
      <w:r w:rsidR="00E12AB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12AB2" w:rsidRPr="00050A61" w:rsidRDefault="00A0489F" w:rsidP="00E12AB2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Положением</w:t>
      </w:r>
      <w:r w:rsidR="00E12AB2" w:rsidRPr="00050A61">
        <w:rPr>
          <w:rFonts w:ascii="Times New Roman" w:hAnsi="Times New Roman" w:cs="Times New Roman"/>
          <w:sz w:val="24"/>
          <w:szCs w:val="24"/>
        </w:rPr>
        <w:t xml:space="preserve"> осуществления бюджетного процесса в </w:t>
      </w:r>
      <w:r w:rsidR="002A6F8F">
        <w:rPr>
          <w:rFonts w:ascii="Times New Roman" w:hAnsi="Times New Roman" w:cs="Times New Roman"/>
          <w:sz w:val="24"/>
          <w:szCs w:val="24"/>
        </w:rPr>
        <w:t>муниципально</w:t>
      </w:r>
      <w:r w:rsidR="00F43261">
        <w:rPr>
          <w:rFonts w:ascii="Times New Roman" w:hAnsi="Times New Roman" w:cs="Times New Roman"/>
          <w:sz w:val="24"/>
          <w:szCs w:val="24"/>
        </w:rPr>
        <w:t>м</w:t>
      </w:r>
      <w:r w:rsidR="002A6F8F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F43261">
        <w:rPr>
          <w:rFonts w:ascii="Times New Roman" w:hAnsi="Times New Roman" w:cs="Times New Roman"/>
          <w:sz w:val="24"/>
          <w:szCs w:val="24"/>
        </w:rPr>
        <w:t>и</w:t>
      </w:r>
      <w:r w:rsidR="002A6F8F">
        <w:rPr>
          <w:rFonts w:ascii="Times New Roman" w:hAnsi="Times New Roman" w:cs="Times New Roman"/>
          <w:sz w:val="24"/>
          <w:szCs w:val="24"/>
        </w:rPr>
        <w:t xml:space="preserve"> «</w:t>
      </w:r>
      <w:r w:rsidR="0062139D" w:rsidRPr="0062139D">
        <w:rPr>
          <w:rFonts w:ascii="Times New Roman" w:hAnsi="Times New Roman" w:cs="Times New Roman"/>
          <w:sz w:val="24"/>
          <w:szCs w:val="24"/>
        </w:rPr>
        <w:t>Муниципальный округ Каракулинский район Удмуртской Республики</w:t>
      </w:r>
      <w:r w:rsidR="002A6F8F">
        <w:rPr>
          <w:rFonts w:ascii="Times New Roman" w:hAnsi="Times New Roman" w:cs="Times New Roman"/>
          <w:sz w:val="24"/>
          <w:szCs w:val="24"/>
        </w:rPr>
        <w:t>»</w:t>
      </w:r>
      <w:r w:rsidR="00E12AB2" w:rsidRPr="00050A61">
        <w:rPr>
          <w:rFonts w:ascii="Times New Roman" w:hAnsi="Times New Roman" w:cs="Times New Roman"/>
          <w:sz w:val="24"/>
          <w:szCs w:val="24"/>
        </w:rPr>
        <w:t>, утвержденно</w:t>
      </w:r>
      <w:r w:rsidR="002A6F8F">
        <w:rPr>
          <w:rFonts w:ascii="Times New Roman" w:hAnsi="Times New Roman" w:cs="Times New Roman"/>
          <w:sz w:val="24"/>
          <w:szCs w:val="24"/>
        </w:rPr>
        <w:t>го</w:t>
      </w:r>
      <w:r w:rsidR="00E12AB2" w:rsidRPr="00050A61">
        <w:rPr>
          <w:rFonts w:ascii="Times New Roman" w:hAnsi="Times New Roman" w:cs="Times New Roman"/>
          <w:sz w:val="24"/>
          <w:szCs w:val="24"/>
        </w:rPr>
        <w:t xml:space="preserve"> решением </w:t>
      </w:r>
      <w:r w:rsidR="00032993">
        <w:rPr>
          <w:rFonts w:ascii="Times New Roman" w:hAnsi="Times New Roman" w:cs="Times New Roman"/>
          <w:sz w:val="24"/>
          <w:szCs w:val="24"/>
        </w:rPr>
        <w:t>Совета депутатов муниципального образования</w:t>
      </w:r>
      <w:r w:rsidR="00013014">
        <w:rPr>
          <w:rFonts w:ascii="Times New Roman" w:hAnsi="Times New Roman" w:cs="Times New Roman"/>
          <w:sz w:val="24"/>
          <w:szCs w:val="24"/>
        </w:rPr>
        <w:t xml:space="preserve"> «</w:t>
      </w:r>
      <w:r w:rsidR="00154ABE" w:rsidRPr="0062139D">
        <w:rPr>
          <w:rFonts w:ascii="Times New Roman" w:hAnsi="Times New Roman" w:cs="Times New Roman"/>
          <w:sz w:val="24"/>
          <w:szCs w:val="24"/>
        </w:rPr>
        <w:t>Муниципальный округ Каракулинский район Удмуртской Республики</w:t>
      </w:r>
      <w:r w:rsidR="00013014">
        <w:rPr>
          <w:rFonts w:ascii="Times New Roman" w:hAnsi="Times New Roman" w:cs="Times New Roman"/>
          <w:sz w:val="24"/>
          <w:szCs w:val="24"/>
        </w:rPr>
        <w:t>»</w:t>
      </w:r>
      <w:r w:rsidR="00E12AB2" w:rsidRPr="00050A61">
        <w:rPr>
          <w:rFonts w:ascii="Times New Roman" w:hAnsi="Times New Roman" w:cs="Times New Roman"/>
          <w:sz w:val="24"/>
          <w:szCs w:val="24"/>
        </w:rPr>
        <w:t xml:space="preserve"> от </w:t>
      </w:r>
      <w:r w:rsidR="001E5F17">
        <w:rPr>
          <w:rFonts w:ascii="Times New Roman" w:hAnsi="Times New Roman" w:cs="Times New Roman"/>
          <w:sz w:val="24"/>
          <w:szCs w:val="24"/>
        </w:rPr>
        <w:t>22 декабря 202</w:t>
      </w:r>
      <w:r w:rsidR="0087205C">
        <w:rPr>
          <w:rFonts w:ascii="Times New Roman" w:hAnsi="Times New Roman" w:cs="Times New Roman"/>
          <w:sz w:val="24"/>
          <w:szCs w:val="24"/>
        </w:rPr>
        <w:t>1</w:t>
      </w:r>
      <w:r w:rsidR="00F43261" w:rsidRPr="00F43261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1E5F17">
        <w:rPr>
          <w:rFonts w:ascii="Times New Roman" w:hAnsi="Times New Roman" w:cs="Times New Roman"/>
          <w:sz w:val="24"/>
          <w:szCs w:val="24"/>
        </w:rPr>
        <w:t>6/2-21</w:t>
      </w:r>
      <w:r w:rsidR="00E12AB2" w:rsidRPr="00050A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2AB2" w:rsidRDefault="00E12AB2" w:rsidP="00E12AB2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523">
        <w:rPr>
          <w:rFonts w:ascii="Times New Roman" w:hAnsi="Times New Roman" w:cs="Times New Roman"/>
          <w:b/>
          <w:sz w:val="24"/>
          <w:szCs w:val="24"/>
        </w:rPr>
        <w:t xml:space="preserve">Правовые основы исполнения бюджета </w:t>
      </w:r>
      <w:r w:rsidR="002A6F8F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="00C02AAB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542C94">
        <w:rPr>
          <w:rFonts w:ascii="Times New Roman" w:hAnsi="Times New Roman" w:cs="Times New Roman"/>
          <w:b/>
          <w:sz w:val="24"/>
          <w:szCs w:val="24"/>
        </w:rPr>
        <w:t>Муниципальный округ Каракулинский район Удмуртской Республики</w:t>
      </w:r>
      <w:r w:rsidR="00C02AAB">
        <w:rPr>
          <w:rFonts w:ascii="Times New Roman" w:hAnsi="Times New Roman" w:cs="Times New Roman"/>
          <w:b/>
          <w:sz w:val="24"/>
          <w:szCs w:val="24"/>
        </w:rPr>
        <w:t>»</w:t>
      </w:r>
      <w:r w:rsidR="00A048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1523">
        <w:rPr>
          <w:rFonts w:ascii="Times New Roman" w:hAnsi="Times New Roman" w:cs="Times New Roman"/>
          <w:b/>
          <w:sz w:val="24"/>
          <w:szCs w:val="24"/>
        </w:rPr>
        <w:t>в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D65D3B">
        <w:rPr>
          <w:rFonts w:ascii="Times New Roman" w:hAnsi="Times New Roman" w:cs="Times New Roman"/>
          <w:b/>
          <w:sz w:val="24"/>
          <w:szCs w:val="24"/>
        </w:rPr>
        <w:t>6</w:t>
      </w:r>
      <w:r w:rsidRPr="00991523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12AB2" w:rsidRPr="00991523" w:rsidRDefault="00E12AB2" w:rsidP="00283331">
      <w:pPr>
        <w:pStyle w:val="ConsPlusNormal"/>
        <w:jc w:val="both"/>
      </w:pPr>
      <w:r w:rsidRPr="00991523">
        <w:t>Решение</w:t>
      </w:r>
      <w:r w:rsidR="002A6F8F">
        <w:t>м</w:t>
      </w:r>
      <w:r w:rsidRPr="00991523">
        <w:t xml:space="preserve"> С</w:t>
      </w:r>
      <w:r w:rsidR="001E31CE">
        <w:t xml:space="preserve">овета депутатов </w:t>
      </w:r>
      <w:r w:rsidR="002A6F8F">
        <w:t>муниципального образования</w:t>
      </w:r>
      <w:r w:rsidR="001E31CE">
        <w:t xml:space="preserve"> «</w:t>
      </w:r>
      <w:r w:rsidR="0062139D" w:rsidRPr="00980636">
        <w:t>Муниципальный округ Каракулинский район Удмуртской Республики</w:t>
      </w:r>
      <w:r w:rsidR="001E31CE">
        <w:t>»</w:t>
      </w:r>
      <w:r w:rsidR="001E31CE" w:rsidRPr="00991523">
        <w:t>,</w:t>
      </w:r>
      <w:r w:rsidRPr="00991523">
        <w:t xml:space="preserve"> от </w:t>
      </w:r>
      <w:r w:rsidR="003947D3">
        <w:t>1</w:t>
      </w:r>
      <w:r w:rsidR="00AE477A">
        <w:t>8</w:t>
      </w:r>
      <w:r w:rsidR="00013014" w:rsidRPr="00422B19">
        <w:t>.12.20</w:t>
      </w:r>
      <w:r w:rsidR="00013014">
        <w:t>2</w:t>
      </w:r>
      <w:r w:rsidR="00AE477A">
        <w:t>5</w:t>
      </w:r>
      <w:r w:rsidR="00013014">
        <w:t xml:space="preserve"> №</w:t>
      </w:r>
      <w:r w:rsidR="00AE477A">
        <w:t>43</w:t>
      </w:r>
      <w:r w:rsidR="00013014" w:rsidRPr="00422B19">
        <w:t>/</w:t>
      </w:r>
      <w:r w:rsidR="00283331">
        <w:t>3</w:t>
      </w:r>
      <w:r w:rsidR="00013014" w:rsidRPr="00422B19">
        <w:t>-</w:t>
      </w:r>
      <w:r w:rsidR="00013014">
        <w:t>2</w:t>
      </w:r>
      <w:r w:rsidR="00AE477A">
        <w:t>5</w:t>
      </w:r>
      <w:r w:rsidR="00013014" w:rsidRPr="00422B19">
        <w:t xml:space="preserve"> </w:t>
      </w:r>
      <w:r w:rsidRPr="00991523">
        <w:t>«</w:t>
      </w:r>
      <w:r>
        <w:t xml:space="preserve">О бюджете </w:t>
      </w:r>
      <w:r w:rsidR="00013014">
        <w:t>муниципального образования «</w:t>
      </w:r>
      <w:r w:rsidR="0087205C">
        <w:t xml:space="preserve">Муниципальный округ </w:t>
      </w:r>
      <w:r w:rsidR="00013014">
        <w:t>Каракулинский район</w:t>
      </w:r>
      <w:r w:rsidR="0087205C">
        <w:t xml:space="preserve"> Удмуртской Республики</w:t>
      </w:r>
      <w:r w:rsidR="00013014">
        <w:t>»</w:t>
      </w:r>
      <w:r>
        <w:t xml:space="preserve"> на 202</w:t>
      </w:r>
      <w:r w:rsidR="00AE477A">
        <w:t>6</w:t>
      </w:r>
      <w:r w:rsidRPr="00991523">
        <w:t xml:space="preserve"> год и на плановый период 202</w:t>
      </w:r>
      <w:r w:rsidR="00AE477A">
        <w:t>7</w:t>
      </w:r>
      <w:r w:rsidRPr="00991523">
        <w:t xml:space="preserve"> и 202</w:t>
      </w:r>
      <w:r w:rsidR="00AE477A">
        <w:t>8</w:t>
      </w:r>
      <w:r w:rsidRPr="00991523">
        <w:t xml:space="preserve"> годов»;</w:t>
      </w:r>
    </w:p>
    <w:p w:rsidR="00D973BA" w:rsidRDefault="00E12AB2" w:rsidP="00283331">
      <w:pPr>
        <w:pStyle w:val="ConsPlusNormal"/>
        <w:jc w:val="both"/>
      </w:pPr>
      <w:r w:rsidRPr="00991523">
        <w:t>Исполнение бюджета и подготовку отчета об исполнении бюджета осуществляет Управление финансов, действующее на основании Положения об Управлении финансов</w:t>
      </w:r>
      <w:r w:rsidR="00013014" w:rsidRPr="0096522E">
        <w:t xml:space="preserve">, утвержденного Решением Совета депутатов </w:t>
      </w:r>
      <w:r w:rsidR="001A57D6">
        <w:t>муниципального образования «</w:t>
      </w:r>
      <w:r w:rsidR="001A57D6" w:rsidRPr="00980636">
        <w:t>Муниципальный округ Каракулинский район Удмуртской Республики</w:t>
      </w:r>
      <w:r w:rsidR="001A57D6">
        <w:t>»</w:t>
      </w:r>
      <w:r w:rsidR="001A57D6" w:rsidRPr="00991523">
        <w:t xml:space="preserve">, </w:t>
      </w:r>
      <w:r w:rsidR="00013014" w:rsidRPr="0096522E">
        <w:t xml:space="preserve">от </w:t>
      </w:r>
      <w:r w:rsidR="00FB1FD2">
        <w:t>1</w:t>
      </w:r>
      <w:r w:rsidR="00D973BA" w:rsidRPr="00D973BA">
        <w:t>4.</w:t>
      </w:r>
      <w:r w:rsidR="00FB1FD2">
        <w:t>12.</w:t>
      </w:r>
      <w:r w:rsidR="00D973BA" w:rsidRPr="00D973BA">
        <w:t>20</w:t>
      </w:r>
      <w:r w:rsidR="00FB1FD2">
        <w:t>21</w:t>
      </w:r>
      <w:r w:rsidR="00D973BA" w:rsidRPr="00D973BA">
        <w:t xml:space="preserve"> № </w:t>
      </w:r>
      <w:r w:rsidR="00FB1FD2">
        <w:t>5</w:t>
      </w:r>
      <w:r w:rsidR="00D973BA" w:rsidRPr="00D973BA">
        <w:t>/</w:t>
      </w:r>
      <w:r w:rsidR="00FB1FD2">
        <w:t>12</w:t>
      </w:r>
      <w:r w:rsidR="00D973BA" w:rsidRPr="00D973BA">
        <w:t>-</w:t>
      </w:r>
      <w:r w:rsidR="00FB1FD2">
        <w:t>21</w:t>
      </w:r>
    </w:p>
    <w:p w:rsidR="00E12AB2" w:rsidRDefault="00E12AB2" w:rsidP="00D973BA">
      <w:pPr>
        <w:pStyle w:val="ConsPlusNormal"/>
        <w:rPr>
          <w:b/>
        </w:rPr>
      </w:pPr>
      <w:r w:rsidRPr="00991523">
        <w:rPr>
          <w:b/>
        </w:rPr>
        <w:t xml:space="preserve">Осуществление бюджетных полномочий в </w:t>
      </w:r>
      <w:r w:rsidR="00315937">
        <w:rPr>
          <w:b/>
        </w:rPr>
        <w:t>муниципальном образовании</w:t>
      </w:r>
      <w:r w:rsidR="006965AA">
        <w:t xml:space="preserve"> </w:t>
      </w:r>
      <w:r w:rsidR="006965AA" w:rsidRPr="00315937">
        <w:rPr>
          <w:b/>
        </w:rPr>
        <w:t>«</w:t>
      </w:r>
      <w:r w:rsidR="0062139D">
        <w:rPr>
          <w:b/>
        </w:rPr>
        <w:t xml:space="preserve">Муниципальный округ </w:t>
      </w:r>
      <w:r w:rsidR="006965AA" w:rsidRPr="00315937">
        <w:rPr>
          <w:b/>
        </w:rPr>
        <w:t>Каракулинский район</w:t>
      </w:r>
      <w:r w:rsidR="0062139D">
        <w:rPr>
          <w:b/>
        </w:rPr>
        <w:t xml:space="preserve"> Удмуртской Республики</w:t>
      </w:r>
      <w:r w:rsidR="006965AA" w:rsidRPr="00315937">
        <w:rPr>
          <w:b/>
        </w:rPr>
        <w:t>»</w:t>
      </w:r>
      <w:r w:rsidRPr="00315937">
        <w:rPr>
          <w:b/>
        </w:rPr>
        <w:t>.</w:t>
      </w:r>
    </w:p>
    <w:p w:rsidR="00E12AB2" w:rsidRPr="00991523" w:rsidRDefault="00E12AB2" w:rsidP="00E12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523">
        <w:rPr>
          <w:rFonts w:ascii="Times New Roman" w:hAnsi="Times New Roman" w:cs="Times New Roman"/>
          <w:sz w:val="24"/>
          <w:szCs w:val="24"/>
        </w:rPr>
        <w:t>Учет операций со средствами бюджета осуществляется на едином счете, открытом Управлении федерального казнач</w:t>
      </w:r>
      <w:r>
        <w:rPr>
          <w:rFonts w:ascii="Times New Roman" w:hAnsi="Times New Roman" w:cs="Times New Roman"/>
          <w:sz w:val="24"/>
          <w:szCs w:val="24"/>
        </w:rPr>
        <w:t>ейства по Удмуртской Республике.</w:t>
      </w:r>
    </w:p>
    <w:p w:rsidR="00E12AB2" w:rsidRDefault="00E12AB2" w:rsidP="00E12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523">
        <w:rPr>
          <w:rFonts w:ascii="Times New Roman" w:hAnsi="Times New Roman" w:cs="Times New Roman"/>
          <w:sz w:val="24"/>
          <w:szCs w:val="24"/>
        </w:rPr>
        <w:t>Ведение лицевых счетов распорядителей, получателей бюджетных средств, а также санкционирование расходов бюджета муниципального образования производится Управлени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991523">
        <w:rPr>
          <w:rFonts w:ascii="Times New Roman" w:hAnsi="Times New Roman" w:cs="Times New Roman"/>
          <w:sz w:val="24"/>
          <w:szCs w:val="24"/>
        </w:rPr>
        <w:t xml:space="preserve"> финансов </w:t>
      </w:r>
      <w:r w:rsidR="00315937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6965AA">
        <w:rPr>
          <w:rFonts w:ascii="Times New Roman" w:hAnsi="Times New Roman" w:cs="Times New Roman"/>
          <w:sz w:val="24"/>
          <w:szCs w:val="24"/>
        </w:rPr>
        <w:t xml:space="preserve"> «</w:t>
      </w:r>
      <w:r w:rsidR="0062139D" w:rsidRPr="0062139D">
        <w:rPr>
          <w:rFonts w:ascii="Times New Roman" w:hAnsi="Times New Roman" w:cs="Times New Roman"/>
          <w:sz w:val="24"/>
          <w:szCs w:val="24"/>
        </w:rPr>
        <w:t>Муниципальный округ Каракулинский район Удмуртской Республики</w:t>
      </w:r>
      <w:r w:rsidR="006965AA" w:rsidRPr="0062139D">
        <w:rPr>
          <w:rFonts w:ascii="Times New Roman" w:hAnsi="Times New Roman" w:cs="Times New Roman"/>
          <w:sz w:val="24"/>
          <w:szCs w:val="24"/>
        </w:rPr>
        <w:t>»</w:t>
      </w:r>
      <w:r w:rsidRPr="0062139D">
        <w:rPr>
          <w:rFonts w:ascii="Times New Roman" w:hAnsi="Times New Roman" w:cs="Times New Roman"/>
          <w:sz w:val="24"/>
          <w:szCs w:val="24"/>
        </w:rPr>
        <w:t>.</w:t>
      </w:r>
    </w:p>
    <w:p w:rsidR="00E12AB2" w:rsidRPr="00003B9C" w:rsidRDefault="00E12AB2" w:rsidP="00E12A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3782">
        <w:rPr>
          <w:rFonts w:ascii="Times New Roman" w:hAnsi="Times New Roman" w:cs="Times New Roman"/>
          <w:sz w:val="24"/>
          <w:szCs w:val="24"/>
        </w:rPr>
        <w:t xml:space="preserve">Порядок осуществления бюджетных полномочий главных администраторов доходов бюджетной системы Российской Федерации, являющихся органами местного самоуправления </w:t>
      </w:r>
      <w:r w:rsidR="006D461D" w:rsidRPr="00EE3782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62139D" w:rsidRPr="0062139D">
        <w:rPr>
          <w:rFonts w:ascii="Times New Roman" w:hAnsi="Times New Roman" w:cs="Times New Roman"/>
          <w:sz w:val="24"/>
          <w:szCs w:val="24"/>
        </w:rPr>
        <w:t>Муниципальный округ Каракулинский район Удмуртской Республики</w:t>
      </w:r>
      <w:r w:rsidR="006D461D" w:rsidRPr="00EE3782">
        <w:rPr>
          <w:rFonts w:ascii="Times New Roman" w:hAnsi="Times New Roman" w:cs="Times New Roman"/>
          <w:sz w:val="24"/>
          <w:szCs w:val="24"/>
        </w:rPr>
        <w:t>»</w:t>
      </w:r>
      <w:r w:rsidRPr="00EE3782">
        <w:rPr>
          <w:rFonts w:ascii="Times New Roman" w:hAnsi="Times New Roman" w:cs="Times New Roman"/>
          <w:sz w:val="24"/>
          <w:szCs w:val="24"/>
        </w:rPr>
        <w:t xml:space="preserve">, отраслевыми (функциональными) органами Администрации </w:t>
      </w:r>
      <w:r w:rsidR="00FC1009" w:rsidRPr="00EE3782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62139D" w:rsidRPr="0062139D">
        <w:rPr>
          <w:rFonts w:ascii="Times New Roman" w:hAnsi="Times New Roman" w:cs="Times New Roman"/>
          <w:sz w:val="24"/>
          <w:szCs w:val="24"/>
        </w:rPr>
        <w:t>Муниципальный округ Каракулинский район Удмуртской Республики</w:t>
      </w:r>
      <w:r w:rsidR="00FC1009" w:rsidRPr="00EE3782">
        <w:rPr>
          <w:rFonts w:ascii="Times New Roman" w:hAnsi="Times New Roman" w:cs="Times New Roman"/>
          <w:sz w:val="24"/>
          <w:szCs w:val="24"/>
        </w:rPr>
        <w:t>»</w:t>
      </w:r>
      <w:r w:rsidRPr="00EE3782">
        <w:rPr>
          <w:rFonts w:ascii="Times New Roman" w:hAnsi="Times New Roman" w:cs="Times New Roman"/>
          <w:sz w:val="24"/>
          <w:szCs w:val="24"/>
        </w:rPr>
        <w:t xml:space="preserve"> и (или) находящимися в их ведении казенными учреждениями в новой редакции утвержден Постановлением Администрации </w:t>
      </w:r>
      <w:r w:rsidR="00FC1009" w:rsidRPr="00EE378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«Каракулинский район» </w:t>
      </w:r>
      <w:r w:rsidRPr="00B0327A">
        <w:rPr>
          <w:rFonts w:ascii="Times New Roman" w:hAnsi="Times New Roman" w:cs="Times New Roman"/>
          <w:sz w:val="24"/>
          <w:szCs w:val="24"/>
        </w:rPr>
        <w:t xml:space="preserve">№ </w:t>
      </w:r>
      <w:r w:rsidR="00762AC3" w:rsidRPr="00B0327A">
        <w:rPr>
          <w:rFonts w:ascii="Times New Roman" w:hAnsi="Times New Roman" w:cs="Times New Roman"/>
          <w:sz w:val="24"/>
          <w:szCs w:val="24"/>
        </w:rPr>
        <w:t>1044</w:t>
      </w:r>
      <w:r w:rsidRPr="00B0327A">
        <w:rPr>
          <w:rFonts w:ascii="Times New Roman" w:hAnsi="Times New Roman" w:cs="Times New Roman"/>
          <w:sz w:val="24"/>
          <w:szCs w:val="24"/>
        </w:rPr>
        <w:t xml:space="preserve"> от </w:t>
      </w:r>
      <w:r w:rsidR="00762AC3" w:rsidRPr="00B0327A">
        <w:rPr>
          <w:rFonts w:ascii="Times New Roman" w:hAnsi="Times New Roman" w:cs="Times New Roman"/>
          <w:sz w:val="24"/>
          <w:szCs w:val="24"/>
        </w:rPr>
        <w:t>31</w:t>
      </w:r>
      <w:r w:rsidRPr="00B0327A">
        <w:rPr>
          <w:rFonts w:ascii="Times New Roman" w:hAnsi="Times New Roman" w:cs="Times New Roman"/>
          <w:sz w:val="24"/>
          <w:szCs w:val="24"/>
        </w:rPr>
        <w:t>.</w:t>
      </w:r>
      <w:r w:rsidR="00762AC3" w:rsidRPr="00B0327A">
        <w:rPr>
          <w:rFonts w:ascii="Times New Roman" w:hAnsi="Times New Roman" w:cs="Times New Roman"/>
          <w:sz w:val="24"/>
          <w:szCs w:val="24"/>
        </w:rPr>
        <w:t>12</w:t>
      </w:r>
      <w:r w:rsidRPr="00B0327A">
        <w:rPr>
          <w:rFonts w:ascii="Times New Roman" w:hAnsi="Times New Roman" w:cs="Times New Roman"/>
          <w:sz w:val="24"/>
          <w:szCs w:val="24"/>
        </w:rPr>
        <w:t>.20</w:t>
      </w:r>
      <w:r w:rsidR="00762AC3" w:rsidRPr="00B0327A">
        <w:rPr>
          <w:rFonts w:ascii="Times New Roman" w:hAnsi="Times New Roman" w:cs="Times New Roman"/>
          <w:sz w:val="24"/>
          <w:szCs w:val="24"/>
        </w:rPr>
        <w:t>09</w:t>
      </w:r>
      <w:r w:rsidRPr="00B0327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12AB2" w:rsidRDefault="00E12AB2" w:rsidP="00E12AB2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523">
        <w:rPr>
          <w:rFonts w:ascii="Times New Roman" w:hAnsi="Times New Roman" w:cs="Times New Roman"/>
          <w:b/>
          <w:sz w:val="24"/>
          <w:szCs w:val="24"/>
        </w:rPr>
        <w:t xml:space="preserve">Главные администраторы доходов и главные распорядители бюджетных средств </w:t>
      </w:r>
      <w:r w:rsidR="00C84DC6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="001E6B2F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542C94">
        <w:rPr>
          <w:rFonts w:ascii="Times New Roman" w:hAnsi="Times New Roman" w:cs="Times New Roman"/>
          <w:b/>
          <w:sz w:val="24"/>
          <w:szCs w:val="24"/>
        </w:rPr>
        <w:t>М</w:t>
      </w:r>
      <w:r w:rsidR="00C84DC6">
        <w:rPr>
          <w:rFonts w:ascii="Times New Roman" w:hAnsi="Times New Roman" w:cs="Times New Roman"/>
          <w:b/>
          <w:sz w:val="24"/>
          <w:szCs w:val="24"/>
        </w:rPr>
        <w:t>униципальный округ</w:t>
      </w:r>
      <w:r w:rsidR="00542C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6B2F">
        <w:rPr>
          <w:rFonts w:ascii="Times New Roman" w:hAnsi="Times New Roman" w:cs="Times New Roman"/>
          <w:b/>
          <w:sz w:val="24"/>
          <w:szCs w:val="24"/>
        </w:rPr>
        <w:t>Каракулинский район</w:t>
      </w:r>
      <w:r w:rsidR="00542C94">
        <w:rPr>
          <w:rFonts w:ascii="Times New Roman" w:hAnsi="Times New Roman" w:cs="Times New Roman"/>
          <w:b/>
          <w:sz w:val="24"/>
          <w:szCs w:val="24"/>
        </w:rPr>
        <w:t xml:space="preserve"> Удмуртской Республики</w:t>
      </w:r>
      <w:r w:rsidR="001E6B2F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12AB2" w:rsidRPr="00991523" w:rsidRDefault="00E12AB2" w:rsidP="00E12AB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523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283331" w:rsidRPr="00283331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1E6B2F">
        <w:rPr>
          <w:rFonts w:ascii="Times New Roman" w:hAnsi="Times New Roman" w:cs="Times New Roman"/>
          <w:sz w:val="24"/>
          <w:szCs w:val="24"/>
        </w:rPr>
        <w:t xml:space="preserve"> «</w:t>
      </w:r>
      <w:r w:rsidR="0062139D" w:rsidRPr="0062139D">
        <w:rPr>
          <w:rFonts w:ascii="Times New Roman" w:hAnsi="Times New Roman" w:cs="Times New Roman"/>
          <w:sz w:val="24"/>
          <w:szCs w:val="24"/>
        </w:rPr>
        <w:t>Муниципальный округ Каракулинский район Удмуртской Республики</w:t>
      </w:r>
      <w:r w:rsidR="001E6B2F">
        <w:rPr>
          <w:rFonts w:ascii="Times New Roman" w:hAnsi="Times New Roman" w:cs="Times New Roman"/>
          <w:sz w:val="24"/>
          <w:szCs w:val="24"/>
        </w:rPr>
        <w:t>»</w:t>
      </w:r>
      <w:r w:rsidRPr="00991523">
        <w:rPr>
          <w:rFonts w:ascii="Times New Roman" w:hAnsi="Times New Roman" w:cs="Times New Roman"/>
          <w:sz w:val="24"/>
          <w:szCs w:val="24"/>
        </w:rPr>
        <w:t>,</w:t>
      </w:r>
    </w:p>
    <w:p w:rsidR="00E12AB2" w:rsidRPr="00991523" w:rsidRDefault="007D3BB1" w:rsidP="00E12AB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Совет депутатов </w:t>
      </w:r>
      <w:r w:rsidR="00283331" w:rsidRPr="00283331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2833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62139D" w:rsidRPr="0062139D">
        <w:rPr>
          <w:rFonts w:ascii="Times New Roman" w:hAnsi="Times New Roman" w:cs="Times New Roman"/>
          <w:sz w:val="24"/>
          <w:szCs w:val="24"/>
        </w:rPr>
        <w:t>Муниципальный округ Каракулинский район Удмуртской Республики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91523">
        <w:rPr>
          <w:rFonts w:ascii="Times New Roman" w:hAnsi="Times New Roman" w:cs="Times New Roman"/>
          <w:sz w:val="24"/>
          <w:szCs w:val="24"/>
        </w:rPr>
        <w:t>,</w:t>
      </w:r>
      <w:r w:rsidR="00E12AB2" w:rsidRPr="009915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2AB2" w:rsidRPr="00991523" w:rsidRDefault="00E12AB2" w:rsidP="00E12AB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523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A97E69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C61A6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83331" w:rsidRPr="00283331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C61A62">
        <w:rPr>
          <w:rFonts w:ascii="Times New Roman" w:hAnsi="Times New Roman" w:cs="Times New Roman"/>
          <w:sz w:val="24"/>
          <w:szCs w:val="24"/>
        </w:rPr>
        <w:t xml:space="preserve"> «</w:t>
      </w:r>
      <w:r w:rsidR="0062139D" w:rsidRPr="0062139D">
        <w:rPr>
          <w:rFonts w:ascii="Times New Roman" w:hAnsi="Times New Roman" w:cs="Times New Roman"/>
          <w:sz w:val="24"/>
          <w:szCs w:val="24"/>
        </w:rPr>
        <w:t>Муниципальный округ Каракулинский район Удмуртской Республики</w:t>
      </w:r>
      <w:r w:rsidR="00C61A62">
        <w:rPr>
          <w:rFonts w:ascii="Times New Roman" w:hAnsi="Times New Roman" w:cs="Times New Roman"/>
          <w:sz w:val="24"/>
          <w:szCs w:val="24"/>
        </w:rPr>
        <w:t>»</w:t>
      </w:r>
      <w:r w:rsidR="00C61A62" w:rsidRPr="00991523">
        <w:rPr>
          <w:rFonts w:ascii="Times New Roman" w:hAnsi="Times New Roman" w:cs="Times New Roman"/>
          <w:sz w:val="24"/>
          <w:szCs w:val="24"/>
        </w:rPr>
        <w:t>,</w:t>
      </w:r>
    </w:p>
    <w:p w:rsidR="00E12AB2" w:rsidRPr="00991523" w:rsidRDefault="00E12AB2" w:rsidP="00E12AB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523">
        <w:rPr>
          <w:rFonts w:ascii="Times New Roman" w:hAnsi="Times New Roman" w:cs="Times New Roman"/>
          <w:sz w:val="24"/>
          <w:szCs w:val="24"/>
        </w:rPr>
        <w:t xml:space="preserve">Управление финансов </w:t>
      </w:r>
      <w:r w:rsidR="00283331" w:rsidRPr="00283331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C61A62">
        <w:rPr>
          <w:rFonts w:ascii="Times New Roman" w:hAnsi="Times New Roman" w:cs="Times New Roman"/>
          <w:sz w:val="24"/>
          <w:szCs w:val="24"/>
        </w:rPr>
        <w:t xml:space="preserve"> «</w:t>
      </w:r>
      <w:r w:rsidR="0062139D" w:rsidRPr="0062139D">
        <w:rPr>
          <w:rFonts w:ascii="Times New Roman" w:hAnsi="Times New Roman" w:cs="Times New Roman"/>
          <w:sz w:val="24"/>
          <w:szCs w:val="24"/>
        </w:rPr>
        <w:t>Муниципальный округ Каракулинский район Удмуртской Республики</w:t>
      </w:r>
      <w:r w:rsidR="00C61A62">
        <w:rPr>
          <w:rFonts w:ascii="Times New Roman" w:hAnsi="Times New Roman" w:cs="Times New Roman"/>
          <w:sz w:val="24"/>
          <w:szCs w:val="24"/>
        </w:rPr>
        <w:t>»</w:t>
      </w:r>
      <w:r w:rsidRPr="00991523">
        <w:rPr>
          <w:rFonts w:ascii="Times New Roman" w:hAnsi="Times New Roman" w:cs="Times New Roman"/>
          <w:sz w:val="24"/>
          <w:szCs w:val="24"/>
        </w:rPr>
        <w:t>.</w:t>
      </w:r>
    </w:p>
    <w:p w:rsidR="00E12AB2" w:rsidRPr="008C11BE" w:rsidRDefault="00E12AB2" w:rsidP="00E12AB2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1BE">
        <w:rPr>
          <w:rFonts w:ascii="Times New Roman" w:hAnsi="Times New Roman" w:cs="Times New Roman"/>
          <w:b/>
          <w:sz w:val="24"/>
          <w:szCs w:val="24"/>
        </w:rPr>
        <w:t>Главные администраторы доходов и источников финансирования дефицита бюджета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71000" w:rsidRPr="00571000" w:rsidRDefault="00E12AB2" w:rsidP="00E12AB2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1000">
        <w:rPr>
          <w:rFonts w:ascii="Times New Roman" w:hAnsi="Times New Roman" w:cs="Times New Roman"/>
          <w:sz w:val="24"/>
          <w:szCs w:val="24"/>
        </w:rPr>
        <w:t xml:space="preserve">Главными администраторам доходов бюджета </w:t>
      </w:r>
      <w:r w:rsidR="00C84DC6" w:rsidRPr="00571000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C61A62" w:rsidRPr="00571000">
        <w:rPr>
          <w:rFonts w:ascii="Times New Roman" w:hAnsi="Times New Roman" w:cs="Times New Roman"/>
          <w:sz w:val="24"/>
          <w:szCs w:val="24"/>
        </w:rPr>
        <w:t xml:space="preserve"> «</w:t>
      </w:r>
      <w:r w:rsidR="0062139D" w:rsidRPr="00571000">
        <w:rPr>
          <w:rFonts w:ascii="Times New Roman" w:hAnsi="Times New Roman" w:cs="Times New Roman"/>
          <w:sz w:val="24"/>
          <w:szCs w:val="24"/>
        </w:rPr>
        <w:t>Муниципальный округ Каракулинский район Удмуртской Республики</w:t>
      </w:r>
      <w:r w:rsidR="00C61A62" w:rsidRPr="00571000">
        <w:rPr>
          <w:rFonts w:ascii="Times New Roman" w:hAnsi="Times New Roman" w:cs="Times New Roman"/>
          <w:sz w:val="24"/>
          <w:szCs w:val="24"/>
        </w:rPr>
        <w:t>»,</w:t>
      </w:r>
      <w:r w:rsidRPr="00571000">
        <w:rPr>
          <w:rFonts w:ascii="Times New Roman" w:hAnsi="Times New Roman" w:cs="Times New Roman"/>
          <w:sz w:val="24"/>
          <w:szCs w:val="24"/>
        </w:rPr>
        <w:t xml:space="preserve"> также являются органы государственной власти РФ и УР, которые в пределах своих полномочий, осуществляют администрирование отдельных видов доходов бюджета муниципального образования.</w:t>
      </w:r>
    </w:p>
    <w:p w:rsidR="00A05C7A" w:rsidRPr="00A05C7A" w:rsidRDefault="00A05C7A" w:rsidP="00A05C7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5C7A">
        <w:rPr>
          <w:rFonts w:ascii="SchoolBook" w:eastAsia="Calibri" w:hAnsi="SchoolBook" w:cs="SchoolBook"/>
          <w:sz w:val="24"/>
          <w:szCs w:val="24"/>
        </w:rPr>
        <w:t xml:space="preserve">С 01.01.2022 согласно ст. 160.2 БК РФ, перечень главных </w:t>
      </w:r>
      <w:proofErr w:type="gramStart"/>
      <w:r w:rsidRPr="00A05C7A">
        <w:rPr>
          <w:rFonts w:ascii="SchoolBook" w:eastAsia="Calibri" w:hAnsi="SchoolBook" w:cs="SchoolBook"/>
          <w:sz w:val="24"/>
          <w:szCs w:val="24"/>
        </w:rPr>
        <w:t>администраторов источников финансирования дефицита местного бюджета</w:t>
      </w:r>
      <w:proofErr w:type="gramEnd"/>
      <w:r w:rsidRPr="00A05C7A">
        <w:rPr>
          <w:rFonts w:ascii="SchoolBook" w:eastAsia="Calibri" w:hAnsi="SchoolBook" w:cs="SchoolBook"/>
          <w:sz w:val="24"/>
          <w:szCs w:val="24"/>
        </w:rPr>
        <w:t xml:space="preserve"> утверждается местной администрацией (в решение представительного органа о бюджета муниципального образования указанная информация не включается).</w:t>
      </w:r>
    </w:p>
    <w:p w:rsidR="00E12AB2" w:rsidRPr="00571000" w:rsidRDefault="00E12AB2" w:rsidP="00571000">
      <w:pPr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C7A">
        <w:rPr>
          <w:rFonts w:ascii="Times New Roman" w:hAnsi="Times New Roman" w:cs="Times New Roman"/>
          <w:b/>
          <w:sz w:val="24"/>
          <w:szCs w:val="24"/>
          <w:highlight w:val="yellow"/>
        </w:rPr>
        <w:t>Свед</w:t>
      </w:r>
      <w:r w:rsidRPr="00571000">
        <w:rPr>
          <w:rFonts w:ascii="Times New Roman" w:hAnsi="Times New Roman" w:cs="Times New Roman"/>
          <w:b/>
          <w:sz w:val="24"/>
          <w:szCs w:val="24"/>
        </w:rPr>
        <w:t>ения о количестве подведомственных учреждений по состоянию на 01.01.202</w:t>
      </w:r>
      <w:r w:rsidR="00D65D3B">
        <w:rPr>
          <w:rFonts w:ascii="Times New Roman" w:hAnsi="Times New Roman" w:cs="Times New Roman"/>
          <w:b/>
          <w:sz w:val="24"/>
          <w:szCs w:val="24"/>
        </w:rPr>
        <w:t>6</w:t>
      </w:r>
      <w:r w:rsidRPr="00571000">
        <w:rPr>
          <w:rFonts w:ascii="Times New Roman" w:hAnsi="Times New Roman" w:cs="Times New Roman"/>
          <w:b/>
          <w:sz w:val="24"/>
          <w:szCs w:val="24"/>
        </w:rPr>
        <w:t>.</w:t>
      </w:r>
    </w:p>
    <w:p w:rsidR="00E12AB2" w:rsidRPr="00FE1226" w:rsidRDefault="00E12AB2" w:rsidP="00E12AB2">
      <w:pPr>
        <w:spacing w:after="0" w:line="240" w:lineRule="auto"/>
        <w:ind w:left="66" w:firstLine="642"/>
        <w:jc w:val="both"/>
        <w:rPr>
          <w:rFonts w:ascii="Times New Roman" w:hAnsi="Times New Roman" w:cs="Times New Roman"/>
          <w:sz w:val="24"/>
          <w:szCs w:val="24"/>
        </w:rPr>
      </w:pPr>
      <w:r w:rsidRPr="00FE1226">
        <w:rPr>
          <w:rFonts w:ascii="Times New Roman" w:hAnsi="Times New Roman" w:cs="Times New Roman"/>
          <w:sz w:val="24"/>
          <w:szCs w:val="24"/>
        </w:rPr>
        <w:t>По состоянию на 01.01.202</w:t>
      </w:r>
      <w:r w:rsidR="00D65D3B">
        <w:rPr>
          <w:rFonts w:ascii="Times New Roman" w:hAnsi="Times New Roman" w:cs="Times New Roman"/>
          <w:sz w:val="24"/>
          <w:szCs w:val="24"/>
        </w:rPr>
        <w:t>6</w:t>
      </w:r>
      <w:r w:rsidRPr="00FE1226">
        <w:rPr>
          <w:rFonts w:ascii="Times New Roman" w:hAnsi="Times New Roman" w:cs="Times New Roman"/>
          <w:sz w:val="24"/>
          <w:szCs w:val="24"/>
        </w:rPr>
        <w:t xml:space="preserve"> на бюджете </w:t>
      </w:r>
      <w:r w:rsidR="00C84DC6" w:rsidRPr="00283331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6965AA">
        <w:rPr>
          <w:rFonts w:ascii="Times New Roman" w:hAnsi="Times New Roman" w:cs="Times New Roman"/>
          <w:sz w:val="24"/>
          <w:szCs w:val="24"/>
        </w:rPr>
        <w:t xml:space="preserve"> «</w:t>
      </w:r>
      <w:r w:rsidR="00C84DC6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="006965AA">
        <w:rPr>
          <w:rFonts w:ascii="Times New Roman" w:hAnsi="Times New Roman" w:cs="Times New Roman"/>
          <w:sz w:val="24"/>
          <w:szCs w:val="24"/>
        </w:rPr>
        <w:t>Каракулинский район</w:t>
      </w:r>
      <w:r w:rsidR="00C84DC6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="006965AA">
        <w:rPr>
          <w:rFonts w:ascii="Times New Roman" w:hAnsi="Times New Roman" w:cs="Times New Roman"/>
          <w:sz w:val="24"/>
          <w:szCs w:val="24"/>
        </w:rPr>
        <w:t>»</w:t>
      </w:r>
      <w:r w:rsidR="006965AA" w:rsidRPr="00991523">
        <w:rPr>
          <w:rFonts w:ascii="Times New Roman" w:hAnsi="Times New Roman" w:cs="Times New Roman"/>
          <w:sz w:val="24"/>
          <w:szCs w:val="24"/>
        </w:rPr>
        <w:t>,</w:t>
      </w:r>
      <w:r w:rsidR="006965AA">
        <w:rPr>
          <w:rFonts w:ascii="Times New Roman" w:hAnsi="Times New Roman" w:cs="Times New Roman"/>
          <w:sz w:val="24"/>
          <w:szCs w:val="24"/>
        </w:rPr>
        <w:t xml:space="preserve"> </w:t>
      </w:r>
      <w:r w:rsidRPr="00FE1226">
        <w:rPr>
          <w:rFonts w:ascii="Times New Roman" w:hAnsi="Times New Roman" w:cs="Times New Roman"/>
          <w:sz w:val="24"/>
          <w:szCs w:val="24"/>
        </w:rPr>
        <w:t xml:space="preserve">состоит </w:t>
      </w:r>
      <w:r w:rsidR="00835031">
        <w:rPr>
          <w:rFonts w:ascii="Times New Roman" w:hAnsi="Times New Roman" w:cs="Times New Roman"/>
          <w:sz w:val="24"/>
          <w:szCs w:val="24"/>
        </w:rPr>
        <w:t>29</w:t>
      </w:r>
      <w:r w:rsidR="00C36E3C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FE1226">
        <w:rPr>
          <w:rFonts w:ascii="Times New Roman" w:hAnsi="Times New Roman" w:cs="Times New Roman"/>
          <w:sz w:val="24"/>
          <w:szCs w:val="24"/>
        </w:rPr>
        <w:t>, из них:</w:t>
      </w:r>
    </w:p>
    <w:p w:rsidR="00E12AB2" w:rsidRPr="00FE1226" w:rsidRDefault="00E12AB2" w:rsidP="00E12AB2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1226">
        <w:rPr>
          <w:rFonts w:ascii="Times New Roman" w:hAnsi="Times New Roman" w:cs="Times New Roman"/>
          <w:sz w:val="24"/>
          <w:szCs w:val="24"/>
        </w:rPr>
        <w:t xml:space="preserve">Полномочиями получателей бюджетных средств наделены </w:t>
      </w:r>
      <w:r w:rsidR="00AD039F">
        <w:rPr>
          <w:rFonts w:ascii="Times New Roman" w:hAnsi="Times New Roman" w:cs="Times New Roman"/>
          <w:sz w:val="24"/>
          <w:szCs w:val="24"/>
        </w:rPr>
        <w:t>6</w:t>
      </w:r>
      <w:r w:rsidRPr="00FE1226">
        <w:rPr>
          <w:rFonts w:ascii="Times New Roman" w:hAnsi="Times New Roman" w:cs="Times New Roman"/>
          <w:sz w:val="24"/>
          <w:szCs w:val="24"/>
        </w:rPr>
        <w:t xml:space="preserve"> учреждений, из них ГРБС – </w:t>
      </w:r>
      <w:r w:rsidR="00A97E69">
        <w:rPr>
          <w:rFonts w:ascii="Times New Roman" w:hAnsi="Times New Roman" w:cs="Times New Roman"/>
          <w:sz w:val="24"/>
          <w:szCs w:val="24"/>
        </w:rPr>
        <w:t>4</w:t>
      </w:r>
      <w:r w:rsidRPr="00FE1226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E12AB2" w:rsidRPr="00FE1226" w:rsidRDefault="00E12AB2" w:rsidP="00E12AB2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E1226">
        <w:rPr>
          <w:rFonts w:ascii="Times New Roman" w:hAnsi="Times New Roman" w:cs="Times New Roman"/>
          <w:sz w:val="24"/>
          <w:szCs w:val="24"/>
        </w:rPr>
        <w:t xml:space="preserve">Полномочиями главного администратора и администратора источников внутреннего финансирования дефицита бюджета – </w:t>
      </w:r>
      <w:r w:rsidR="001E31CE">
        <w:rPr>
          <w:rFonts w:ascii="Times New Roman" w:hAnsi="Times New Roman" w:cs="Times New Roman"/>
          <w:sz w:val="24"/>
          <w:szCs w:val="24"/>
        </w:rPr>
        <w:t>1</w:t>
      </w:r>
      <w:r w:rsidRPr="00FE1226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315937">
        <w:rPr>
          <w:rFonts w:ascii="Times New Roman" w:hAnsi="Times New Roman" w:cs="Times New Roman"/>
          <w:sz w:val="24"/>
          <w:szCs w:val="24"/>
        </w:rPr>
        <w:t>е</w:t>
      </w:r>
      <w:r w:rsidRPr="00FE1226">
        <w:rPr>
          <w:rFonts w:ascii="Times New Roman" w:hAnsi="Times New Roman" w:cs="Times New Roman"/>
          <w:sz w:val="24"/>
          <w:szCs w:val="24"/>
        </w:rPr>
        <w:t>;</w:t>
      </w:r>
    </w:p>
    <w:p w:rsidR="00E12AB2" w:rsidRPr="00AC3772" w:rsidRDefault="00E12AB2" w:rsidP="00AC3772">
      <w:pPr>
        <w:pStyle w:val="a3"/>
        <w:numPr>
          <w:ilvl w:val="0"/>
          <w:numId w:val="6"/>
        </w:numPr>
        <w:tabs>
          <w:tab w:val="left" w:pos="681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3772">
        <w:rPr>
          <w:rFonts w:ascii="Times New Roman" w:hAnsi="Times New Roman" w:cs="Times New Roman"/>
          <w:sz w:val="24"/>
          <w:szCs w:val="24"/>
        </w:rPr>
        <w:t xml:space="preserve">Получателями субсидий являются – </w:t>
      </w:r>
      <w:r w:rsidR="00A97E69" w:rsidRPr="00AC3772">
        <w:rPr>
          <w:rFonts w:ascii="Times New Roman" w:hAnsi="Times New Roman" w:cs="Times New Roman"/>
          <w:sz w:val="24"/>
          <w:szCs w:val="24"/>
        </w:rPr>
        <w:t>2</w:t>
      </w:r>
      <w:r w:rsidR="00AD039F" w:rsidRPr="00AC3772">
        <w:rPr>
          <w:rFonts w:ascii="Times New Roman" w:hAnsi="Times New Roman" w:cs="Times New Roman"/>
          <w:sz w:val="24"/>
          <w:szCs w:val="24"/>
        </w:rPr>
        <w:t>3</w:t>
      </w:r>
      <w:r w:rsidRPr="00AC3772">
        <w:rPr>
          <w:rFonts w:ascii="Times New Roman" w:hAnsi="Times New Roman" w:cs="Times New Roman"/>
          <w:sz w:val="24"/>
          <w:szCs w:val="24"/>
        </w:rPr>
        <w:t xml:space="preserve">, из них бюджетные учреждения </w:t>
      </w:r>
      <w:r w:rsidR="007D3BB1" w:rsidRPr="00AC3772">
        <w:rPr>
          <w:rFonts w:ascii="Times New Roman" w:hAnsi="Times New Roman" w:cs="Times New Roman"/>
          <w:sz w:val="24"/>
          <w:szCs w:val="24"/>
        </w:rPr>
        <w:t>2</w:t>
      </w:r>
      <w:r w:rsidR="00AD039F" w:rsidRPr="00AC3772">
        <w:rPr>
          <w:rFonts w:ascii="Times New Roman" w:hAnsi="Times New Roman" w:cs="Times New Roman"/>
          <w:sz w:val="24"/>
          <w:szCs w:val="24"/>
        </w:rPr>
        <w:t>0</w:t>
      </w:r>
      <w:r w:rsidRPr="00AC3772">
        <w:rPr>
          <w:rFonts w:ascii="Times New Roman" w:hAnsi="Times New Roman" w:cs="Times New Roman"/>
          <w:sz w:val="24"/>
          <w:szCs w:val="24"/>
        </w:rPr>
        <w:t xml:space="preserve">, </w:t>
      </w:r>
      <w:r w:rsidR="007D3BB1" w:rsidRPr="00AC3772">
        <w:rPr>
          <w:rFonts w:ascii="Times New Roman" w:hAnsi="Times New Roman" w:cs="Times New Roman"/>
          <w:sz w:val="24"/>
          <w:szCs w:val="24"/>
        </w:rPr>
        <w:t>казенные</w:t>
      </w:r>
      <w:r w:rsidRPr="00AC3772">
        <w:rPr>
          <w:rFonts w:ascii="Times New Roman" w:hAnsi="Times New Roman" w:cs="Times New Roman"/>
          <w:sz w:val="24"/>
          <w:szCs w:val="24"/>
        </w:rPr>
        <w:t xml:space="preserve"> учреждения –</w:t>
      </w:r>
      <w:r w:rsidR="00BF3C97" w:rsidRPr="00AC3772">
        <w:rPr>
          <w:rFonts w:ascii="Times New Roman" w:hAnsi="Times New Roman" w:cs="Times New Roman"/>
          <w:sz w:val="24"/>
          <w:szCs w:val="24"/>
        </w:rPr>
        <w:t>3</w:t>
      </w:r>
      <w:r w:rsidR="00AC3772" w:rsidRPr="00AC3772">
        <w:rPr>
          <w:rFonts w:ascii="Times New Roman" w:hAnsi="Times New Roman" w:cs="Times New Roman"/>
          <w:sz w:val="24"/>
          <w:szCs w:val="24"/>
        </w:rPr>
        <w:t>,</w:t>
      </w:r>
      <w:r w:rsidR="00AC37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C3772">
        <w:rPr>
          <w:rFonts w:ascii="Times New Roman" w:hAnsi="Times New Roman" w:cs="Times New Roman"/>
          <w:sz w:val="24"/>
          <w:szCs w:val="24"/>
        </w:rPr>
        <w:t>и</w:t>
      </w:r>
      <w:r w:rsidRPr="00AC3772">
        <w:rPr>
          <w:rFonts w:ascii="Times New Roman" w:hAnsi="Times New Roman" w:cs="Times New Roman"/>
          <w:sz w:val="24"/>
          <w:szCs w:val="24"/>
        </w:rPr>
        <w:t>зменени</w:t>
      </w:r>
      <w:r w:rsidR="00AC3772" w:rsidRPr="00AC377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AC3772" w:rsidRPr="00AC3772">
        <w:rPr>
          <w:rFonts w:ascii="Times New Roman" w:hAnsi="Times New Roman" w:cs="Times New Roman"/>
          <w:sz w:val="24"/>
          <w:szCs w:val="24"/>
        </w:rPr>
        <w:t xml:space="preserve"> в 202</w:t>
      </w:r>
      <w:r w:rsidR="00A05C7A">
        <w:rPr>
          <w:rFonts w:ascii="Times New Roman" w:hAnsi="Times New Roman" w:cs="Times New Roman"/>
          <w:sz w:val="24"/>
          <w:szCs w:val="24"/>
        </w:rPr>
        <w:t>5</w:t>
      </w:r>
      <w:r w:rsidR="00AC3772" w:rsidRPr="00AC3772">
        <w:rPr>
          <w:rFonts w:ascii="Times New Roman" w:hAnsi="Times New Roman" w:cs="Times New Roman"/>
          <w:sz w:val="24"/>
          <w:szCs w:val="24"/>
        </w:rPr>
        <w:t xml:space="preserve"> году не было.</w:t>
      </w:r>
      <w:r w:rsidRPr="00AC37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1000" w:rsidRPr="00571000" w:rsidRDefault="00571000" w:rsidP="00AC3772">
      <w:pPr>
        <w:pStyle w:val="a3"/>
        <w:autoSpaceDE w:val="0"/>
        <w:autoSpaceDN w:val="0"/>
        <w:adjustRightInd w:val="0"/>
        <w:spacing w:before="120"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2AB2" w:rsidRPr="00571000" w:rsidRDefault="00E12AB2" w:rsidP="00E12AB2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1000">
        <w:rPr>
          <w:rFonts w:ascii="Times New Roman" w:hAnsi="Times New Roman" w:cs="Times New Roman"/>
          <w:b/>
          <w:sz w:val="24"/>
          <w:szCs w:val="24"/>
        </w:rPr>
        <w:t>Результаты анализа.</w:t>
      </w:r>
    </w:p>
    <w:p w:rsidR="00571000" w:rsidRDefault="00E12AB2" w:rsidP="0057100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2DEC">
        <w:rPr>
          <w:rFonts w:ascii="Times New Roman" w:hAnsi="Times New Roman" w:cs="Times New Roman"/>
          <w:sz w:val="24"/>
          <w:szCs w:val="24"/>
        </w:rPr>
        <w:t>Отчет об исполнении бюджета за 1 квартал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D65D3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у</w:t>
      </w:r>
      <w:r w:rsidRPr="00D62DEC">
        <w:rPr>
          <w:rFonts w:ascii="Times New Roman" w:hAnsi="Times New Roman" w:cs="Times New Roman"/>
          <w:sz w:val="24"/>
          <w:szCs w:val="24"/>
        </w:rPr>
        <w:t xml:space="preserve">твержден </w:t>
      </w:r>
      <w:r w:rsidR="00C02AAB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Pr="00D62DEC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C84DC6" w:rsidRPr="00283331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065674">
        <w:rPr>
          <w:rFonts w:ascii="Times New Roman" w:hAnsi="Times New Roman" w:cs="Times New Roman"/>
          <w:sz w:val="24"/>
          <w:szCs w:val="24"/>
        </w:rPr>
        <w:t xml:space="preserve"> «</w:t>
      </w:r>
      <w:r w:rsidR="0062139D" w:rsidRPr="0062139D">
        <w:rPr>
          <w:rFonts w:ascii="Times New Roman" w:hAnsi="Times New Roman" w:cs="Times New Roman"/>
          <w:sz w:val="24"/>
          <w:szCs w:val="24"/>
        </w:rPr>
        <w:t>Муниципальный округ Каракулинский район Удмуртской Республики</w:t>
      </w:r>
      <w:r w:rsidR="00065674">
        <w:rPr>
          <w:rFonts w:ascii="Times New Roman" w:hAnsi="Times New Roman" w:cs="Times New Roman"/>
          <w:sz w:val="24"/>
          <w:szCs w:val="24"/>
        </w:rPr>
        <w:t>»</w:t>
      </w:r>
      <w:r w:rsidR="00C02AAB">
        <w:rPr>
          <w:rFonts w:ascii="Times New Roman" w:hAnsi="Times New Roman" w:cs="Times New Roman"/>
          <w:sz w:val="24"/>
          <w:szCs w:val="24"/>
        </w:rPr>
        <w:t xml:space="preserve"> от </w:t>
      </w:r>
      <w:r w:rsidR="00D65D3B">
        <w:rPr>
          <w:rFonts w:ascii="Times New Roman" w:hAnsi="Times New Roman" w:cs="Times New Roman"/>
          <w:sz w:val="24"/>
          <w:szCs w:val="24"/>
        </w:rPr>
        <w:t>08</w:t>
      </w:r>
      <w:r w:rsidR="00C02AAB">
        <w:rPr>
          <w:rFonts w:ascii="Times New Roman" w:hAnsi="Times New Roman" w:cs="Times New Roman"/>
          <w:sz w:val="24"/>
          <w:szCs w:val="24"/>
        </w:rPr>
        <w:t xml:space="preserve"> мая 202</w:t>
      </w:r>
      <w:r w:rsidR="00D65D3B">
        <w:rPr>
          <w:rFonts w:ascii="Times New Roman" w:hAnsi="Times New Roman" w:cs="Times New Roman"/>
          <w:sz w:val="24"/>
          <w:szCs w:val="24"/>
        </w:rPr>
        <w:t>6</w:t>
      </w:r>
      <w:r w:rsidR="00A77353">
        <w:rPr>
          <w:rFonts w:ascii="Times New Roman" w:hAnsi="Times New Roman" w:cs="Times New Roman"/>
          <w:sz w:val="24"/>
          <w:szCs w:val="24"/>
        </w:rPr>
        <w:t xml:space="preserve"> </w:t>
      </w:r>
      <w:r w:rsidR="00C02AAB">
        <w:rPr>
          <w:rFonts w:ascii="Times New Roman" w:hAnsi="Times New Roman" w:cs="Times New Roman"/>
          <w:sz w:val="24"/>
          <w:szCs w:val="24"/>
        </w:rPr>
        <w:t>года №</w:t>
      </w:r>
      <w:r w:rsidR="00D65D3B">
        <w:rPr>
          <w:rFonts w:ascii="Times New Roman" w:hAnsi="Times New Roman" w:cs="Times New Roman"/>
          <w:sz w:val="24"/>
          <w:szCs w:val="24"/>
        </w:rPr>
        <w:t>357</w:t>
      </w:r>
      <w:r w:rsidR="00C02AAB">
        <w:rPr>
          <w:rFonts w:ascii="Times New Roman" w:hAnsi="Times New Roman" w:cs="Times New Roman"/>
          <w:sz w:val="24"/>
          <w:szCs w:val="24"/>
        </w:rPr>
        <w:t xml:space="preserve"> </w:t>
      </w:r>
      <w:r w:rsidRPr="00D62DEC">
        <w:rPr>
          <w:rFonts w:ascii="Times New Roman" w:hAnsi="Times New Roman" w:cs="Times New Roman"/>
          <w:sz w:val="24"/>
          <w:szCs w:val="24"/>
        </w:rPr>
        <w:t xml:space="preserve">и направлен в </w:t>
      </w:r>
      <w:r w:rsidR="00065674"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  <w:r w:rsidR="00C84DC6" w:rsidRPr="00283331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065674">
        <w:rPr>
          <w:rFonts w:ascii="Times New Roman" w:hAnsi="Times New Roman" w:cs="Times New Roman"/>
          <w:sz w:val="24"/>
          <w:szCs w:val="24"/>
        </w:rPr>
        <w:t xml:space="preserve"> «</w:t>
      </w:r>
      <w:r w:rsidR="0062139D" w:rsidRPr="0062139D">
        <w:rPr>
          <w:rFonts w:ascii="Times New Roman" w:hAnsi="Times New Roman" w:cs="Times New Roman"/>
          <w:sz w:val="24"/>
          <w:szCs w:val="24"/>
        </w:rPr>
        <w:t>Муниципальный округ Каракулинский район Удмуртской Республики</w:t>
      </w:r>
      <w:r w:rsidR="00065674">
        <w:rPr>
          <w:rFonts w:ascii="Times New Roman" w:hAnsi="Times New Roman" w:cs="Times New Roman"/>
          <w:sz w:val="24"/>
          <w:szCs w:val="24"/>
        </w:rPr>
        <w:t>»</w:t>
      </w:r>
      <w:r w:rsidRPr="00D62DEC">
        <w:rPr>
          <w:rFonts w:ascii="Times New Roman" w:hAnsi="Times New Roman" w:cs="Times New Roman"/>
          <w:sz w:val="24"/>
          <w:szCs w:val="24"/>
        </w:rPr>
        <w:t xml:space="preserve"> и контрольно-счетный орган </w:t>
      </w:r>
      <w:r w:rsidR="00C84DC6" w:rsidRPr="00283331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D62DEC">
        <w:rPr>
          <w:rFonts w:ascii="Times New Roman" w:hAnsi="Times New Roman" w:cs="Times New Roman"/>
          <w:sz w:val="24"/>
          <w:szCs w:val="24"/>
        </w:rPr>
        <w:t xml:space="preserve"> «</w:t>
      </w:r>
      <w:r w:rsidR="0062139D" w:rsidRPr="0062139D">
        <w:rPr>
          <w:rFonts w:ascii="Times New Roman" w:hAnsi="Times New Roman" w:cs="Times New Roman"/>
          <w:sz w:val="24"/>
          <w:szCs w:val="24"/>
        </w:rPr>
        <w:t>Муниципальный округ Каракулинский район Удмуртской Республики</w:t>
      </w:r>
      <w:r w:rsidRPr="00D62DEC">
        <w:rPr>
          <w:rFonts w:ascii="Times New Roman" w:hAnsi="Times New Roman" w:cs="Times New Roman"/>
          <w:sz w:val="24"/>
          <w:szCs w:val="24"/>
        </w:rPr>
        <w:t xml:space="preserve">» в соответствии со ст. </w:t>
      </w:r>
      <w:r w:rsidR="005F39D1">
        <w:rPr>
          <w:rFonts w:ascii="Times New Roman" w:hAnsi="Times New Roman" w:cs="Times New Roman"/>
          <w:sz w:val="24"/>
          <w:szCs w:val="24"/>
        </w:rPr>
        <w:t>1</w:t>
      </w:r>
      <w:r w:rsidR="00065674">
        <w:rPr>
          <w:rFonts w:ascii="Times New Roman" w:hAnsi="Times New Roman" w:cs="Times New Roman"/>
          <w:sz w:val="24"/>
          <w:szCs w:val="24"/>
        </w:rPr>
        <w:t>6</w:t>
      </w:r>
      <w:r w:rsidRPr="00D62DEC">
        <w:rPr>
          <w:rFonts w:ascii="Times New Roman" w:hAnsi="Times New Roman" w:cs="Times New Roman"/>
          <w:sz w:val="24"/>
          <w:szCs w:val="24"/>
        </w:rPr>
        <w:t xml:space="preserve"> Порядка осуществления бюджетного процесса </w:t>
      </w:r>
      <w:r w:rsidR="00C84DC6" w:rsidRPr="00283331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C84DC6" w:rsidRPr="00283331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065674" w:rsidRPr="00D62DEC">
        <w:rPr>
          <w:rFonts w:ascii="Times New Roman" w:hAnsi="Times New Roman" w:cs="Times New Roman"/>
          <w:sz w:val="24"/>
          <w:szCs w:val="24"/>
        </w:rPr>
        <w:t xml:space="preserve"> «</w:t>
      </w:r>
      <w:r w:rsidR="0062139D" w:rsidRPr="0062139D">
        <w:rPr>
          <w:rFonts w:ascii="Times New Roman" w:hAnsi="Times New Roman" w:cs="Times New Roman"/>
          <w:sz w:val="24"/>
          <w:szCs w:val="24"/>
        </w:rPr>
        <w:t>Муниципальный округ Каракулинский район Удмуртской Республики</w:t>
      </w:r>
      <w:r w:rsidR="00065674" w:rsidRPr="00D62DEC">
        <w:rPr>
          <w:rFonts w:ascii="Times New Roman" w:hAnsi="Times New Roman" w:cs="Times New Roman"/>
          <w:sz w:val="24"/>
          <w:szCs w:val="24"/>
        </w:rPr>
        <w:t>»</w:t>
      </w:r>
      <w:r w:rsidRPr="00D62D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2AC3" w:rsidRPr="00762AC3" w:rsidRDefault="00762AC3" w:rsidP="00762A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AC3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контрольно-счетный орган муниципального образования «</w:t>
      </w:r>
      <w:r w:rsidR="00666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Pr="00762AC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Каракулинский район</w:t>
      </w:r>
      <w:r w:rsidR="00666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 w:rsidRPr="00762AC3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Отчет об исполнение бюджета муниципального образования «</w:t>
      </w:r>
      <w:r w:rsidR="00666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="006667C7" w:rsidRPr="00762AC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Каракулинский район</w:t>
      </w:r>
      <w:r w:rsidR="00666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 w:rsidR="006667C7" w:rsidRPr="00762AC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66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1 квартал 202</w:t>
      </w:r>
      <w:r w:rsidR="00D65D3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62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поступил </w:t>
      </w:r>
      <w:r w:rsidR="00D65D3B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762AC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D65D3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62AC3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65D3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62AC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762AC3" w:rsidRPr="006667C7" w:rsidRDefault="00762AC3" w:rsidP="0057100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12AB2" w:rsidRDefault="00E12AB2" w:rsidP="0057100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AD1">
        <w:rPr>
          <w:rFonts w:ascii="Times New Roman" w:hAnsi="Times New Roman" w:cs="Times New Roman"/>
          <w:b/>
          <w:sz w:val="24"/>
          <w:szCs w:val="24"/>
        </w:rPr>
        <w:t>Ан</w:t>
      </w:r>
      <w:r w:rsidRPr="008C11BE">
        <w:rPr>
          <w:rFonts w:ascii="Times New Roman" w:hAnsi="Times New Roman" w:cs="Times New Roman"/>
          <w:b/>
          <w:sz w:val="24"/>
          <w:szCs w:val="24"/>
        </w:rPr>
        <w:t xml:space="preserve">ализ отчета в части исполнения доходов бюджета </w:t>
      </w:r>
      <w:r w:rsidR="00976016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="00065674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62139D" w:rsidRPr="0062139D">
        <w:rPr>
          <w:rFonts w:ascii="Times New Roman" w:hAnsi="Times New Roman" w:cs="Times New Roman"/>
          <w:b/>
          <w:sz w:val="24"/>
          <w:szCs w:val="24"/>
        </w:rPr>
        <w:t>Муниципальный округ Каракулинский район Удмуртской Республики</w:t>
      </w:r>
      <w:r w:rsidR="00065674">
        <w:rPr>
          <w:rFonts w:ascii="Times New Roman" w:hAnsi="Times New Roman" w:cs="Times New Roman"/>
          <w:b/>
          <w:sz w:val="24"/>
          <w:szCs w:val="24"/>
        </w:rPr>
        <w:t>»</w:t>
      </w:r>
      <w:r w:rsidRPr="008C11BE">
        <w:rPr>
          <w:rFonts w:ascii="Times New Roman" w:hAnsi="Times New Roman" w:cs="Times New Roman"/>
          <w:b/>
          <w:sz w:val="24"/>
          <w:szCs w:val="24"/>
        </w:rPr>
        <w:t>.</w:t>
      </w:r>
    </w:p>
    <w:p w:rsidR="00E12AB2" w:rsidRPr="008C11BE" w:rsidRDefault="00E12AB2" w:rsidP="00E12A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11BE">
        <w:rPr>
          <w:rFonts w:ascii="Times New Roman" w:hAnsi="Times New Roman" w:cs="Times New Roman"/>
          <w:bCs/>
          <w:sz w:val="24"/>
          <w:szCs w:val="24"/>
        </w:rPr>
        <w:t>Исполнение бюд</w:t>
      </w:r>
      <w:r>
        <w:rPr>
          <w:rFonts w:ascii="Times New Roman" w:hAnsi="Times New Roman" w:cs="Times New Roman"/>
          <w:bCs/>
          <w:sz w:val="24"/>
          <w:szCs w:val="24"/>
        </w:rPr>
        <w:t>жета по доходам за 1 квартал 202</w:t>
      </w:r>
      <w:r w:rsidR="00A05C7A">
        <w:rPr>
          <w:rFonts w:ascii="Times New Roman" w:hAnsi="Times New Roman" w:cs="Times New Roman"/>
          <w:bCs/>
          <w:sz w:val="24"/>
          <w:szCs w:val="24"/>
        </w:rPr>
        <w:t>6</w:t>
      </w:r>
      <w:r w:rsidRPr="008C11BE">
        <w:rPr>
          <w:rFonts w:ascii="Times New Roman" w:hAnsi="Times New Roman" w:cs="Times New Roman"/>
          <w:bCs/>
          <w:sz w:val="24"/>
          <w:szCs w:val="24"/>
        </w:rPr>
        <w:t xml:space="preserve"> года составило </w:t>
      </w:r>
      <w:r w:rsidR="006667C7">
        <w:rPr>
          <w:rFonts w:ascii="Times New Roman" w:hAnsi="Times New Roman" w:cs="Times New Roman"/>
          <w:bCs/>
          <w:sz w:val="24"/>
          <w:szCs w:val="24"/>
        </w:rPr>
        <w:t>13</w:t>
      </w:r>
      <w:r w:rsidR="001210AA">
        <w:rPr>
          <w:rFonts w:ascii="Times New Roman" w:hAnsi="Times New Roman" w:cs="Times New Roman"/>
          <w:bCs/>
          <w:sz w:val="24"/>
          <w:szCs w:val="24"/>
        </w:rPr>
        <w:t>8,80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1920">
        <w:rPr>
          <w:rFonts w:ascii="Times New Roman" w:hAnsi="Times New Roman" w:cs="Times New Roman"/>
          <w:bCs/>
          <w:sz w:val="24"/>
          <w:szCs w:val="24"/>
        </w:rPr>
        <w:t>млн</w:t>
      </w:r>
      <w:r>
        <w:rPr>
          <w:rFonts w:ascii="Times New Roman" w:hAnsi="Times New Roman" w:cs="Times New Roman"/>
          <w:bCs/>
          <w:sz w:val="24"/>
          <w:szCs w:val="24"/>
        </w:rPr>
        <w:t xml:space="preserve">. руб. или </w:t>
      </w:r>
      <w:r w:rsidR="006667C7">
        <w:rPr>
          <w:rFonts w:ascii="Times New Roman" w:hAnsi="Times New Roman" w:cs="Times New Roman"/>
          <w:bCs/>
          <w:sz w:val="24"/>
          <w:szCs w:val="24"/>
        </w:rPr>
        <w:t>1</w:t>
      </w:r>
      <w:r w:rsidR="001210AA">
        <w:rPr>
          <w:rFonts w:ascii="Times New Roman" w:hAnsi="Times New Roman" w:cs="Times New Roman"/>
          <w:bCs/>
          <w:sz w:val="24"/>
          <w:szCs w:val="24"/>
        </w:rPr>
        <w:t>6</w:t>
      </w:r>
      <w:r w:rsidR="006667C7">
        <w:rPr>
          <w:rFonts w:ascii="Times New Roman" w:hAnsi="Times New Roman" w:cs="Times New Roman"/>
          <w:bCs/>
          <w:sz w:val="24"/>
          <w:szCs w:val="24"/>
        </w:rPr>
        <w:t>,0</w:t>
      </w:r>
      <w:r w:rsidRPr="008C11BE">
        <w:rPr>
          <w:rFonts w:ascii="Times New Roman" w:hAnsi="Times New Roman" w:cs="Times New Roman"/>
          <w:bCs/>
          <w:sz w:val="24"/>
          <w:szCs w:val="24"/>
        </w:rPr>
        <w:t xml:space="preserve">% от годового утвержденного плана, в том числе по налоговым и неналоговым поступлениям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1210AA">
        <w:rPr>
          <w:rFonts w:ascii="Times New Roman" w:hAnsi="Times New Roman" w:cs="Times New Roman"/>
          <w:bCs/>
          <w:sz w:val="24"/>
          <w:szCs w:val="24"/>
        </w:rPr>
        <w:t>54,88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1920">
        <w:rPr>
          <w:rFonts w:ascii="Times New Roman" w:hAnsi="Times New Roman" w:cs="Times New Roman"/>
          <w:bCs/>
          <w:sz w:val="24"/>
          <w:szCs w:val="24"/>
        </w:rPr>
        <w:t>млн</w:t>
      </w:r>
      <w:r>
        <w:rPr>
          <w:rFonts w:ascii="Times New Roman" w:hAnsi="Times New Roman" w:cs="Times New Roman"/>
          <w:bCs/>
          <w:sz w:val="24"/>
          <w:szCs w:val="24"/>
        </w:rPr>
        <w:t>. руб. (</w:t>
      </w:r>
      <w:r w:rsidR="006667C7">
        <w:rPr>
          <w:rFonts w:ascii="Times New Roman" w:hAnsi="Times New Roman" w:cs="Times New Roman"/>
          <w:bCs/>
          <w:sz w:val="24"/>
          <w:szCs w:val="24"/>
        </w:rPr>
        <w:t>1</w:t>
      </w:r>
      <w:r w:rsidR="001210AA">
        <w:rPr>
          <w:rFonts w:ascii="Times New Roman" w:hAnsi="Times New Roman" w:cs="Times New Roman"/>
          <w:bCs/>
          <w:sz w:val="24"/>
          <w:szCs w:val="24"/>
        </w:rPr>
        <w:t>4,8</w:t>
      </w:r>
      <w:r w:rsidRPr="008C11BE">
        <w:rPr>
          <w:rFonts w:ascii="Times New Roman" w:hAnsi="Times New Roman" w:cs="Times New Roman"/>
          <w:bCs/>
          <w:sz w:val="24"/>
          <w:szCs w:val="24"/>
        </w:rPr>
        <w:t>%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8C11BE">
        <w:rPr>
          <w:rFonts w:ascii="Times New Roman" w:hAnsi="Times New Roman" w:cs="Times New Roman"/>
          <w:bCs/>
          <w:sz w:val="24"/>
          <w:szCs w:val="24"/>
        </w:rPr>
        <w:t xml:space="preserve">, по безвозмездным поступлениям от других бюджетов бюджетной системы РФ – </w:t>
      </w:r>
      <w:r w:rsidR="001210AA">
        <w:rPr>
          <w:rFonts w:ascii="Times New Roman" w:hAnsi="Times New Roman" w:cs="Times New Roman"/>
          <w:bCs/>
          <w:sz w:val="24"/>
          <w:szCs w:val="24"/>
        </w:rPr>
        <w:t>83,92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5BA3">
        <w:rPr>
          <w:rFonts w:ascii="Times New Roman" w:hAnsi="Times New Roman" w:cs="Times New Roman"/>
          <w:bCs/>
          <w:sz w:val="24"/>
          <w:szCs w:val="24"/>
        </w:rPr>
        <w:t>млн. руб</w:t>
      </w:r>
      <w:r>
        <w:rPr>
          <w:rFonts w:ascii="Times New Roman" w:hAnsi="Times New Roman" w:cs="Times New Roman"/>
          <w:bCs/>
          <w:sz w:val="24"/>
          <w:szCs w:val="24"/>
        </w:rPr>
        <w:t>. (</w:t>
      </w:r>
      <w:r w:rsidR="00EE0598">
        <w:rPr>
          <w:rFonts w:ascii="Times New Roman" w:hAnsi="Times New Roman" w:cs="Times New Roman"/>
          <w:bCs/>
          <w:sz w:val="24"/>
          <w:szCs w:val="24"/>
        </w:rPr>
        <w:t>1</w:t>
      </w:r>
      <w:r w:rsidR="001210AA">
        <w:rPr>
          <w:rFonts w:ascii="Times New Roman" w:hAnsi="Times New Roman" w:cs="Times New Roman"/>
          <w:bCs/>
          <w:sz w:val="24"/>
          <w:szCs w:val="24"/>
        </w:rPr>
        <w:t>6,9</w:t>
      </w:r>
      <w:r w:rsidRPr="008C11BE">
        <w:rPr>
          <w:rFonts w:ascii="Times New Roman" w:hAnsi="Times New Roman" w:cs="Times New Roman"/>
          <w:bCs/>
          <w:sz w:val="24"/>
          <w:szCs w:val="24"/>
        </w:rPr>
        <w:t>%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8C11BE">
        <w:rPr>
          <w:rFonts w:ascii="Times New Roman" w:hAnsi="Times New Roman" w:cs="Times New Roman"/>
          <w:bCs/>
          <w:sz w:val="24"/>
          <w:szCs w:val="24"/>
        </w:rPr>
        <w:t xml:space="preserve">. Доля собственных доходов составляет </w:t>
      </w:r>
      <w:r w:rsidR="001210AA">
        <w:rPr>
          <w:rFonts w:ascii="Times New Roman" w:hAnsi="Times New Roman" w:cs="Times New Roman"/>
          <w:bCs/>
          <w:sz w:val="24"/>
          <w:szCs w:val="24"/>
        </w:rPr>
        <w:t>39,5</w:t>
      </w:r>
      <w:r w:rsidRPr="008C11BE">
        <w:rPr>
          <w:rFonts w:ascii="Times New Roman" w:hAnsi="Times New Roman" w:cs="Times New Roman"/>
          <w:bCs/>
          <w:sz w:val="24"/>
          <w:szCs w:val="24"/>
        </w:rPr>
        <w:t xml:space="preserve">%, доля безвозмездных поступлений </w:t>
      </w:r>
      <w:r w:rsidR="001210AA">
        <w:rPr>
          <w:rFonts w:ascii="Times New Roman" w:hAnsi="Times New Roman" w:cs="Times New Roman"/>
          <w:bCs/>
          <w:sz w:val="24"/>
          <w:szCs w:val="24"/>
        </w:rPr>
        <w:t>60,5</w:t>
      </w:r>
      <w:r w:rsidRPr="008C11BE">
        <w:rPr>
          <w:rFonts w:ascii="Times New Roman" w:hAnsi="Times New Roman" w:cs="Times New Roman"/>
          <w:bCs/>
          <w:sz w:val="24"/>
          <w:szCs w:val="24"/>
        </w:rPr>
        <w:t>%.</w:t>
      </w:r>
    </w:p>
    <w:p w:rsidR="00E12AB2" w:rsidRDefault="00E12AB2" w:rsidP="00E12A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1B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3600" cy="3009900"/>
            <wp:effectExtent l="0" t="0" r="19050" b="19050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12AB2" w:rsidRDefault="00E12AB2" w:rsidP="00BE3DE7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1. Исполнение бюджета </w:t>
      </w:r>
      <w:r w:rsidR="00976016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49438C">
        <w:rPr>
          <w:rFonts w:ascii="Times New Roman" w:hAnsi="Times New Roman" w:cs="Times New Roman"/>
          <w:sz w:val="24"/>
          <w:szCs w:val="24"/>
        </w:rPr>
        <w:t>«</w:t>
      </w:r>
      <w:r w:rsidR="0062139D" w:rsidRPr="0062139D">
        <w:rPr>
          <w:rFonts w:ascii="Times New Roman" w:hAnsi="Times New Roman" w:cs="Times New Roman"/>
          <w:sz w:val="24"/>
          <w:szCs w:val="24"/>
        </w:rPr>
        <w:t>Муниципальный округ Каракулинский район Удмуртской Республики</w:t>
      </w:r>
      <w:r w:rsidR="0049438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 1 квартале 202</w:t>
      </w:r>
      <w:r w:rsidR="001210A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по доходам (</w:t>
      </w:r>
      <w:r w:rsidR="00FD1920">
        <w:rPr>
          <w:rFonts w:ascii="Times New Roman" w:hAnsi="Times New Roman" w:cs="Times New Roman"/>
          <w:sz w:val="24"/>
          <w:szCs w:val="24"/>
        </w:rPr>
        <w:t>млн</w:t>
      </w:r>
      <w:r>
        <w:rPr>
          <w:rFonts w:ascii="Times New Roman" w:hAnsi="Times New Roman" w:cs="Times New Roman"/>
          <w:sz w:val="24"/>
          <w:szCs w:val="24"/>
        </w:rPr>
        <w:t>. руб.).</w:t>
      </w:r>
      <w:r w:rsidRPr="00FE1226">
        <w:rPr>
          <w:rFonts w:ascii="Times New Roman" w:hAnsi="Times New Roman" w:cs="Times New Roman"/>
          <w:b/>
          <w:bCs/>
          <w:noProof/>
          <w:sz w:val="18"/>
          <w:szCs w:val="18"/>
          <w:lang w:eastAsia="ru-RU"/>
        </w:rPr>
        <w:drawing>
          <wp:inline distT="0" distB="0" distL="0" distR="0">
            <wp:extent cx="5943600" cy="2971800"/>
            <wp:effectExtent l="0" t="0" r="0" b="0"/>
            <wp:docPr id="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12AB2" w:rsidRPr="00B33A54" w:rsidRDefault="00E12AB2" w:rsidP="00E12AB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A54">
        <w:rPr>
          <w:rFonts w:ascii="Times New Roman" w:hAnsi="Times New Roman" w:cs="Times New Roman"/>
          <w:bCs/>
          <w:sz w:val="24"/>
          <w:szCs w:val="24"/>
        </w:rPr>
        <w:t>Рисунок 2. Исполнение бюджета по доходам в сравнении с аналогичным периодом 20</w:t>
      </w:r>
      <w:r w:rsidR="00B833D2">
        <w:rPr>
          <w:rFonts w:ascii="Times New Roman" w:hAnsi="Times New Roman" w:cs="Times New Roman"/>
          <w:bCs/>
          <w:sz w:val="24"/>
          <w:szCs w:val="24"/>
        </w:rPr>
        <w:t>2</w:t>
      </w:r>
      <w:r w:rsidR="001210AA">
        <w:rPr>
          <w:rFonts w:ascii="Times New Roman" w:hAnsi="Times New Roman" w:cs="Times New Roman"/>
          <w:bCs/>
          <w:sz w:val="24"/>
          <w:szCs w:val="24"/>
        </w:rPr>
        <w:t>3</w:t>
      </w:r>
      <w:r w:rsidRPr="00B33A54">
        <w:rPr>
          <w:rFonts w:ascii="Times New Roman" w:hAnsi="Times New Roman" w:cs="Times New Roman"/>
          <w:bCs/>
          <w:sz w:val="24"/>
          <w:szCs w:val="24"/>
        </w:rPr>
        <w:t>-20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1210AA">
        <w:rPr>
          <w:rFonts w:ascii="Times New Roman" w:hAnsi="Times New Roman" w:cs="Times New Roman"/>
          <w:bCs/>
          <w:sz w:val="24"/>
          <w:szCs w:val="24"/>
        </w:rPr>
        <w:t>6</w:t>
      </w:r>
      <w:r w:rsidRPr="00B33A54">
        <w:rPr>
          <w:rFonts w:ascii="Times New Roman" w:hAnsi="Times New Roman" w:cs="Times New Roman"/>
          <w:bCs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FD1920">
        <w:rPr>
          <w:rFonts w:ascii="Times New Roman" w:hAnsi="Times New Roman" w:cs="Times New Roman"/>
          <w:bCs/>
          <w:sz w:val="24"/>
          <w:szCs w:val="24"/>
        </w:rPr>
        <w:t>млн</w:t>
      </w:r>
      <w:r w:rsidRPr="00B33A54">
        <w:rPr>
          <w:rFonts w:ascii="Times New Roman" w:hAnsi="Times New Roman" w:cs="Times New Roman"/>
          <w:bCs/>
          <w:sz w:val="24"/>
          <w:szCs w:val="24"/>
        </w:rPr>
        <w:t>. руб.</w:t>
      </w:r>
      <w:r>
        <w:rPr>
          <w:rFonts w:ascii="Times New Roman" w:hAnsi="Times New Roman" w:cs="Times New Roman"/>
          <w:bCs/>
          <w:sz w:val="24"/>
          <w:szCs w:val="24"/>
        </w:rPr>
        <w:t>).</w:t>
      </w:r>
    </w:p>
    <w:p w:rsidR="00E12AB2" w:rsidRDefault="00E12AB2" w:rsidP="00E12AB2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3A54">
        <w:rPr>
          <w:rFonts w:ascii="Times New Roman" w:hAnsi="Times New Roman" w:cs="Times New Roman"/>
          <w:bCs/>
          <w:sz w:val="24"/>
          <w:szCs w:val="24"/>
        </w:rPr>
        <w:t xml:space="preserve">Сравнивая показатели за 1 квартал </w:t>
      </w:r>
      <w:r w:rsidR="00F230CB">
        <w:rPr>
          <w:rFonts w:ascii="Times New Roman" w:hAnsi="Times New Roman" w:cs="Times New Roman"/>
          <w:bCs/>
          <w:sz w:val="24"/>
          <w:szCs w:val="24"/>
        </w:rPr>
        <w:t>трех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предыдущих лет</w:t>
      </w:r>
      <w:r w:rsidRPr="00B33A54">
        <w:rPr>
          <w:rFonts w:ascii="Times New Roman" w:hAnsi="Times New Roman" w:cs="Times New Roman"/>
          <w:bCs/>
          <w:sz w:val="24"/>
          <w:szCs w:val="24"/>
        </w:rPr>
        <w:t xml:space="preserve">, можно отметить, что сумма налоговых и неналоговых поступлений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последовательно </w:t>
      </w:r>
      <w:r w:rsidR="00B5267B">
        <w:rPr>
          <w:rFonts w:ascii="Times New Roman" w:hAnsi="Times New Roman" w:cs="Times New Roman"/>
          <w:bCs/>
          <w:sz w:val="24"/>
          <w:szCs w:val="24"/>
        </w:rPr>
        <w:t>повышалось</w:t>
      </w:r>
      <w:r>
        <w:rPr>
          <w:rFonts w:ascii="Times New Roman" w:hAnsi="Times New Roman" w:cs="Times New Roman"/>
          <w:bCs/>
          <w:sz w:val="24"/>
          <w:szCs w:val="24"/>
        </w:rPr>
        <w:t xml:space="preserve"> в 1 квартале 20</w:t>
      </w:r>
      <w:r w:rsidR="00F230CB">
        <w:rPr>
          <w:rFonts w:ascii="Times New Roman" w:hAnsi="Times New Roman" w:cs="Times New Roman"/>
          <w:bCs/>
          <w:sz w:val="24"/>
          <w:szCs w:val="24"/>
        </w:rPr>
        <w:t>2</w:t>
      </w:r>
      <w:r w:rsidR="00A12E2F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и 202</w:t>
      </w:r>
      <w:r w:rsidR="001210AA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годов. В первом квартале 202</w:t>
      </w:r>
      <w:r w:rsidR="001210AA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года отмечен</w:t>
      </w:r>
      <w:r w:rsidR="002C352D"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30CB">
        <w:rPr>
          <w:rFonts w:ascii="Times New Roman" w:hAnsi="Times New Roman" w:cs="Times New Roman"/>
          <w:bCs/>
          <w:sz w:val="24"/>
          <w:szCs w:val="24"/>
        </w:rPr>
        <w:t>увеличение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суммы налоговых и неналоговых поступлений на </w:t>
      </w:r>
      <w:r w:rsidR="00A12E2F">
        <w:rPr>
          <w:rFonts w:ascii="Times New Roman" w:hAnsi="Times New Roman" w:cs="Times New Roman"/>
          <w:bCs/>
          <w:sz w:val="24"/>
          <w:szCs w:val="24"/>
        </w:rPr>
        <w:t>11,</w:t>
      </w:r>
      <w:r w:rsidR="001210AA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>% относительно 1 квартала 202</w:t>
      </w:r>
      <w:r w:rsidR="001210AA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года.</w:t>
      </w:r>
      <w:r w:rsidR="001210AA" w:rsidRPr="001210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10AA">
        <w:rPr>
          <w:rFonts w:ascii="Times New Roman" w:hAnsi="Times New Roman" w:cs="Times New Roman"/>
          <w:bCs/>
          <w:sz w:val="24"/>
          <w:szCs w:val="24"/>
        </w:rPr>
        <w:t xml:space="preserve">В первом квартале 2024 года отмечено увеличение суммы налоговых и неналоговых поступлений на 11,4% относительно 1 квартала 2023 года. </w:t>
      </w:r>
      <w:r>
        <w:rPr>
          <w:rFonts w:ascii="Times New Roman" w:hAnsi="Times New Roman" w:cs="Times New Roman"/>
          <w:bCs/>
          <w:sz w:val="24"/>
          <w:szCs w:val="24"/>
        </w:rPr>
        <w:t>Размер налоговых и неналоговых поступлений в 1 квартале 202</w:t>
      </w:r>
      <w:r w:rsidR="009636F0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года достиг </w:t>
      </w:r>
      <w:r w:rsidR="009636F0">
        <w:rPr>
          <w:rFonts w:ascii="Times New Roman" w:hAnsi="Times New Roman" w:cs="Times New Roman"/>
          <w:bCs/>
          <w:sz w:val="24"/>
          <w:szCs w:val="24"/>
        </w:rPr>
        <w:t>миним</w:t>
      </w:r>
      <w:r>
        <w:rPr>
          <w:rFonts w:ascii="Times New Roman" w:hAnsi="Times New Roman" w:cs="Times New Roman"/>
          <w:bCs/>
          <w:sz w:val="24"/>
          <w:szCs w:val="24"/>
        </w:rPr>
        <w:t xml:space="preserve">ального значения </w:t>
      </w:r>
      <w:r w:rsidR="009636F0">
        <w:rPr>
          <w:rFonts w:ascii="Times New Roman" w:hAnsi="Times New Roman" w:cs="Times New Roman"/>
          <w:bCs/>
          <w:sz w:val="24"/>
          <w:szCs w:val="24"/>
        </w:rPr>
        <w:t>по уровню прошлого года</w:t>
      </w:r>
      <w:r w:rsidR="00A12E2F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 w:rsidR="009636F0">
        <w:rPr>
          <w:rFonts w:ascii="Times New Roman" w:hAnsi="Times New Roman" w:cs="Times New Roman"/>
          <w:bCs/>
          <w:sz w:val="24"/>
          <w:szCs w:val="24"/>
        </w:rPr>
        <w:t>7,4</w:t>
      </w:r>
      <w:r w:rsidR="00B5267B">
        <w:rPr>
          <w:rFonts w:ascii="Times New Roman" w:hAnsi="Times New Roman" w:cs="Times New Roman"/>
          <w:bCs/>
          <w:sz w:val="24"/>
          <w:szCs w:val="24"/>
        </w:rPr>
        <w:t>%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12AB2" w:rsidRDefault="00E12AB2" w:rsidP="00E12A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3A54">
        <w:rPr>
          <w:rFonts w:ascii="Times New Roman" w:hAnsi="Times New Roman" w:cs="Times New Roman"/>
          <w:bCs/>
          <w:sz w:val="24"/>
          <w:szCs w:val="24"/>
        </w:rPr>
        <w:t>Объем безвозмездных поступлений в первом квартале 20</w:t>
      </w:r>
      <w:r w:rsidR="00A77353">
        <w:rPr>
          <w:rFonts w:ascii="Times New Roman" w:hAnsi="Times New Roman" w:cs="Times New Roman"/>
          <w:bCs/>
          <w:sz w:val="24"/>
          <w:szCs w:val="24"/>
        </w:rPr>
        <w:t>2</w:t>
      </w:r>
      <w:r w:rsidR="009636F0">
        <w:rPr>
          <w:rFonts w:ascii="Times New Roman" w:hAnsi="Times New Roman" w:cs="Times New Roman"/>
          <w:bCs/>
          <w:sz w:val="24"/>
          <w:szCs w:val="24"/>
        </w:rPr>
        <w:t>3</w:t>
      </w:r>
      <w:r w:rsidRPr="00B33A54">
        <w:rPr>
          <w:rFonts w:ascii="Times New Roman" w:hAnsi="Times New Roman" w:cs="Times New Roman"/>
          <w:bCs/>
          <w:sz w:val="24"/>
          <w:szCs w:val="24"/>
        </w:rPr>
        <w:t>-20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9636F0">
        <w:rPr>
          <w:rFonts w:ascii="Times New Roman" w:hAnsi="Times New Roman" w:cs="Times New Roman"/>
          <w:bCs/>
          <w:sz w:val="24"/>
          <w:szCs w:val="24"/>
        </w:rPr>
        <w:t>6</w:t>
      </w:r>
      <w:r w:rsidRPr="00B33A54">
        <w:rPr>
          <w:rFonts w:ascii="Times New Roman" w:hAnsi="Times New Roman" w:cs="Times New Roman"/>
          <w:bCs/>
          <w:sz w:val="24"/>
          <w:szCs w:val="24"/>
        </w:rPr>
        <w:t xml:space="preserve"> годов </w:t>
      </w:r>
      <w:r>
        <w:rPr>
          <w:rFonts w:ascii="Times New Roman" w:hAnsi="Times New Roman" w:cs="Times New Roman"/>
          <w:bCs/>
          <w:sz w:val="24"/>
          <w:szCs w:val="24"/>
        </w:rPr>
        <w:t xml:space="preserve">демонстрировал тенденцию к </w:t>
      </w:r>
      <w:r w:rsidR="00A77353">
        <w:rPr>
          <w:rFonts w:ascii="Times New Roman" w:hAnsi="Times New Roman" w:cs="Times New Roman"/>
          <w:bCs/>
          <w:sz w:val="24"/>
          <w:szCs w:val="24"/>
        </w:rPr>
        <w:t>росту</w:t>
      </w:r>
      <w:r w:rsidR="004F1FDB">
        <w:rPr>
          <w:rFonts w:ascii="Times New Roman" w:hAnsi="Times New Roman" w:cs="Times New Roman"/>
          <w:bCs/>
          <w:sz w:val="24"/>
          <w:szCs w:val="24"/>
        </w:rPr>
        <w:t xml:space="preserve"> или снижению</w:t>
      </w:r>
      <w:r>
        <w:rPr>
          <w:rFonts w:ascii="Times New Roman" w:hAnsi="Times New Roman" w:cs="Times New Roman"/>
          <w:bCs/>
          <w:sz w:val="24"/>
          <w:szCs w:val="24"/>
        </w:rPr>
        <w:t>. Так в 1 квартале 20</w:t>
      </w:r>
      <w:r w:rsidR="00F230CB">
        <w:rPr>
          <w:rFonts w:ascii="Times New Roman" w:hAnsi="Times New Roman" w:cs="Times New Roman"/>
          <w:bCs/>
          <w:sz w:val="24"/>
          <w:szCs w:val="24"/>
        </w:rPr>
        <w:t>2</w:t>
      </w:r>
      <w:r w:rsidR="009636F0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года </w:t>
      </w:r>
      <w:r w:rsidR="00A12E2F">
        <w:rPr>
          <w:rFonts w:ascii="Times New Roman" w:hAnsi="Times New Roman" w:cs="Times New Roman"/>
          <w:bCs/>
          <w:sz w:val="24"/>
          <w:szCs w:val="24"/>
        </w:rPr>
        <w:t>увеличение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относительно аналогичного периода прошлого года составило </w:t>
      </w:r>
      <w:r w:rsidR="00B5267B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A12E2F">
        <w:rPr>
          <w:rFonts w:ascii="Times New Roman" w:hAnsi="Times New Roman" w:cs="Times New Roman"/>
          <w:bCs/>
          <w:sz w:val="24"/>
          <w:szCs w:val="24"/>
        </w:rPr>
        <w:t>12,</w:t>
      </w:r>
      <w:r w:rsidR="009636F0"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>%, в 1 квартале 20</w:t>
      </w:r>
      <w:r w:rsidR="000B5FEB">
        <w:rPr>
          <w:rFonts w:ascii="Times New Roman" w:hAnsi="Times New Roman" w:cs="Times New Roman"/>
          <w:bCs/>
          <w:sz w:val="24"/>
          <w:szCs w:val="24"/>
        </w:rPr>
        <w:t>2</w:t>
      </w:r>
      <w:r w:rsidR="009636F0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года </w:t>
      </w:r>
      <w:r w:rsidR="009636F0">
        <w:rPr>
          <w:rFonts w:ascii="Times New Roman" w:hAnsi="Times New Roman" w:cs="Times New Roman"/>
          <w:bCs/>
          <w:sz w:val="24"/>
          <w:szCs w:val="24"/>
        </w:rPr>
        <w:t>снижение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 w:rsidR="00CA15C0">
        <w:rPr>
          <w:rFonts w:ascii="Times New Roman" w:hAnsi="Times New Roman" w:cs="Times New Roman"/>
          <w:bCs/>
          <w:sz w:val="24"/>
          <w:szCs w:val="24"/>
        </w:rPr>
        <w:t>12,9</w:t>
      </w:r>
      <w:r>
        <w:rPr>
          <w:rFonts w:ascii="Times New Roman" w:hAnsi="Times New Roman" w:cs="Times New Roman"/>
          <w:bCs/>
          <w:sz w:val="24"/>
          <w:szCs w:val="24"/>
        </w:rPr>
        <w:t>%, в 1 квартале 202</w:t>
      </w:r>
      <w:r w:rsidR="009636F0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года </w:t>
      </w:r>
      <w:r w:rsidR="004F1FDB">
        <w:rPr>
          <w:rFonts w:ascii="Times New Roman" w:hAnsi="Times New Roman" w:cs="Times New Roman"/>
          <w:bCs/>
          <w:sz w:val="24"/>
          <w:szCs w:val="24"/>
        </w:rPr>
        <w:t>у</w:t>
      </w:r>
      <w:r w:rsidR="00CA15C0">
        <w:rPr>
          <w:rFonts w:ascii="Times New Roman" w:hAnsi="Times New Roman" w:cs="Times New Roman"/>
          <w:bCs/>
          <w:sz w:val="24"/>
          <w:szCs w:val="24"/>
        </w:rPr>
        <w:t>меньшение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36F0">
        <w:rPr>
          <w:rFonts w:ascii="Times New Roman" w:hAnsi="Times New Roman" w:cs="Times New Roman"/>
          <w:bCs/>
          <w:sz w:val="24"/>
          <w:szCs w:val="24"/>
        </w:rPr>
        <w:t>10,3</w:t>
      </w:r>
      <w:r>
        <w:rPr>
          <w:rFonts w:ascii="Times New Roman" w:hAnsi="Times New Roman" w:cs="Times New Roman"/>
          <w:bCs/>
          <w:sz w:val="24"/>
          <w:szCs w:val="24"/>
        </w:rPr>
        <w:t>%.</w:t>
      </w:r>
      <w:r w:rsidRPr="00B33A5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первом квартале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202</w:t>
      </w:r>
      <w:r w:rsidR="009636F0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отмечен</w:t>
      </w:r>
      <w:r w:rsidR="00F230CB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="00A12E2F">
        <w:rPr>
          <w:rFonts w:ascii="Times New Roman" w:hAnsi="Times New Roman" w:cs="Times New Roman"/>
          <w:bCs/>
          <w:sz w:val="24"/>
          <w:szCs w:val="24"/>
        </w:rPr>
        <w:t>снижение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безвозмездных поступлений </w:t>
      </w:r>
      <w:r w:rsidR="00EA40A5">
        <w:rPr>
          <w:rFonts w:ascii="Times New Roman" w:hAnsi="Times New Roman" w:cs="Times New Roman"/>
          <w:bCs/>
          <w:sz w:val="24"/>
          <w:szCs w:val="24"/>
        </w:rPr>
        <w:t>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36F0">
        <w:rPr>
          <w:rFonts w:ascii="Times New Roman" w:hAnsi="Times New Roman" w:cs="Times New Roman"/>
          <w:bCs/>
          <w:sz w:val="24"/>
          <w:szCs w:val="24"/>
        </w:rPr>
        <w:t>10,3</w:t>
      </w:r>
      <w:r>
        <w:rPr>
          <w:rFonts w:ascii="Times New Roman" w:hAnsi="Times New Roman" w:cs="Times New Roman"/>
          <w:bCs/>
          <w:sz w:val="24"/>
          <w:szCs w:val="24"/>
        </w:rPr>
        <w:t>% относительно аналогичного периода 202</w:t>
      </w:r>
      <w:r w:rsidR="009636F0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года. </w:t>
      </w:r>
    </w:p>
    <w:p w:rsidR="00E12AB2" w:rsidRPr="00B33A54" w:rsidRDefault="00E12AB2" w:rsidP="00E12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A54">
        <w:rPr>
          <w:rFonts w:ascii="Times New Roman" w:hAnsi="Times New Roman" w:cs="Times New Roman"/>
          <w:bCs/>
          <w:sz w:val="24"/>
          <w:szCs w:val="24"/>
        </w:rPr>
        <w:t xml:space="preserve">Общий объем доходов на </w:t>
      </w:r>
      <w:r w:rsidR="009636F0">
        <w:rPr>
          <w:rFonts w:ascii="Times New Roman" w:hAnsi="Times New Roman" w:cs="Times New Roman"/>
          <w:bCs/>
          <w:sz w:val="24"/>
          <w:szCs w:val="24"/>
        </w:rPr>
        <w:t>10,1</w:t>
      </w:r>
      <w:r w:rsidRPr="00B33A54">
        <w:rPr>
          <w:rFonts w:ascii="Times New Roman" w:hAnsi="Times New Roman" w:cs="Times New Roman"/>
          <w:bCs/>
          <w:sz w:val="24"/>
          <w:szCs w:val="24"/>
        </w:rPr>
        <w:t xml:space="preserve">% </w:t>
      </w:r>
      <w:r w:rsidR="009636F0">
        <w:rPr>
          <w:rFonts w:ascii="Times New Roman" w:hAnsi="Times New Roman" w:cs="Times New Roman"/>
          <w:bCs/>
          <w:sz w:val="24"/>
          <w:szCs w:val="24"/>
        </w:rPr>
        <w:t>выше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3A54">
        <w:rPr>
          <w:rFonts w:ascii="Times New Roman" w:hAnsi="Times New Roman" w:cs="Times New Roman"/>
          <w:bCs/>
          <w:sz w:val="24"/>
          <w:szCs w:val="24"/>
        </w:rPr>
        <w:t>аналогичного периода 2</w:t>
      </w:r>
      <w:r>
        <w:rPr>
          <w:rFonts w:ascii="Times New Roman" w:hAnsi="Times New Roman" w:cs="Times New Roman"/>
          <w:bCs/>
          <w:sz w:val="24"/>
          <w:szCs w:val="24"/>
        </w:rPr>
        <w:t>02</w:t>
      </w:r>
      <w:r w:rsidR="009636F0">
        <w:rPr>
          <w:rFonts w:ascii="Times New Roman" w:hAnsi="Times New Roman" w:cs="Times New Roman"/>
          <w:bCs/>
          <w:sz w:val="24"/>
          <w:szCs w:val="24"/>
        </w:rPr>
        <w:t>5</w:t>
      </w:r>
      <w:r w:rsidRPr="00B33A54">
        <w:rPr>
          <w:rFonts w:ascii="Times New Roman" w:hAnsi="Times New Roman" w:cs="Times New Roman"/>
          <w:bCs/>
          <w:sz w:val="24"/>
          <w:szCs w:val="24"/>
        </w:rPr>
        <w:t xml:space="preserve"> года.</w:t>
      </w:r>
    </w:p>
    <w:p w:rsidR="00E12AB2" w:rsidRDefault="00E12AB2" w:rsidP="00E12A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3A54">
        <w:rPr>
          <w:rFonts w:ascii="Times New Roman" w:hAnsi="Times New Roman" w:cs="Times New Roman"/>
          <w:bCs/>
          <w:sz w:val="24"/>
          <w:szCs w:val="24"/>
        </w:rPr>
        <w:t>В структуре доходов доля со</w:t>
      </w:r>
      <w:r>
        <w:rPr>
          <w:rFonts w:ascii="Times New Roman" w:hAnsi="Times New Roman" w:cs="Times New Roman"/>
          <w:bCs/>
          <w:sz w:val="24"/>
          <w:szCs w:val="24"/>
        </w:rPr>
        <w:t>бственных доходов (</w:t>
      </w:r>
      <w:r w:rsidR="00AA4AD1">
        <w:rPr>
          <w:rFonts w:ascii="Times New Roman" w:hAnsi="Times New Roman" w:cs="Times New Roman"/>
          <w:bCs/>
          <w:sz w:val="24"/>
          <w:szCs w:val="24"/>
        </w:rPr>
        <w:t xml:space="preserve">39,5 </w:t>
      </w:r>
      <w:r w:rsidR="00CA15C0">
        <w:rPr>
          <w:rFonts w:ascii="Times New Roman" w:hAnsi="Times New Roman" w:cs="Times New Roman"/>
          <w:bCs/>
          <w:sz w:val="24"/>
          <w:szCs w:val="24"/>
        </w:rPr>
        <w:t>43,1</w:t>
      </w:r>
      <w:r>
        <w:rPr>
          <w:rFonts w:ascii="Times New Roman" w:hAnsi="Times New Roman" w:cs="Times New Roman"/>
          <w:bCs/>
          <w:sz w:val="24"/>
          <w:szCs w:val="24"/>
        </w:rPr>
        <w:t xml:space="preserve">%) находится </w:t>
      </w:r>
      <w:r w:rsidR="008B1F59">
        <w:rPr>
          <w:rFonts w:ascii="Times New Roman" w:hAnsi="Times New Roman" w:cs="Times New Roman"/>
          <w:bCs/>
          <w:sz w:val="24"/>
          <w:szCs w:val="24"/>
        </w:rPr>
        <w:t>ниже</w:t>
      </w:r>
      <w:r w:rsidRPr="00B33A54">
        <w:rPr>
          <w:rFonts w:ascii="Times New Roman" w:hAnsi="Times New Roman" w:cs="Times New Roman"/>
          <w:bCs/>
          <w:sz w:val="24"/>
          <w:szCs w:val="24"/>
        </w:rPr>
        <w:t xml:space="preserve"> уровня 1 кв. 20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9636F0">
        <w:rPr>
          <w:rFonts w:ascii="Times New Roman" w:hAnsi="Times New Roman" w:cs="Times New Roman"/>
          <w:bCs/>
          <w:sz w:val="24"/>
          <w:szCs w:val="24"/>
        </w:rPr>
        <w:t>5</w:t>
      </w:r>
      <w:r w:rsidRPr="00B33A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06BD">
        <w:rPr>
          <w:rFonts w:ascii="Times New Roman" w:hAnsi="Times New Roman" w:cs="Times New Roman"/>
          <w:bCs/>
          <w:sz w:val="24"/>
          <w:szCs w:val="24"/>
        </w:rPr>
        <w:t>года (</w:t>
      </w:r>
      <w:r w:rsidR="00AA4AD1">
        <w:rPr>
          <w:rFonts w:ascii="Times New Roman" w:hAnsi="Times New Roman" w:cs="Times New Roman"/>
          <w:bCs/>
          <w:sz w:val="24"/>
          <w:szCs w:val="24"/>
        </w:rPr>
        <w:t>43,1</w:t>
      </w:r>
      <w:r w:rsidRPr="005106BD">
        <w:rPr>
          <w:rFonts w:ascii="Times New Roman" w:hAnsi="Times New Roman" w:cs="Times New Roman"/>
          <w:bCs/>
          <w:sz w:val="24"/>
          <w:szCs w:val="24"/>
        </w:rPr>
        <w:t>%).</w:t>
      </w:r>
      <w:r>
        <w:rPr>
          <w:rFonts w:ascii="Times New Roman" w:hAnsi="Times New Roman" w:cs="Times New Roman"/>
          <w:bCs/>
          <w:sz w:val="24"/>
          <w:szCs w:val="24"/>
        </w:rPr>
        <w:t xml:space="preserve"> В 1 квартале 20</w:t>
      </w:r>
      <w:r w:rsidR="00C859EC">
        <w:rPr>
          <w:rFonts w:ascii="Times New Roman" w:hAnsi="Times New Roman" w:cs="Times New Roman"/>
          <w:bCs/>
          <w:sz w:val="24"/>
          <w:szCs w:val="24"/>
        </w:rPr>
        <w:t>2</w:t>
      </w:r>
      <w:r w:rsidR="00AA4AD1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года этот показатель составлял </w:t>
      </w:r>
      <w:r w:rsidR="000D3B56">
        <w:rPr>
          <w:rFonts w:ascii="Times New Roman" w:hAnsi="Times New Roman" w:cs="Times New Roman"/>
          <w:bCs/>
          <w:sz w:val="24"/>
          <w:szCs w:val="24"/>
        </w:rPr>
        <w:t>3</w:t>
      </w:r>
      <w:r w:rsidR="00AA4AD1">
        <w:rPr>
          <w:rFonts w:ascii="Times New Roman" w:hAnsi="Times New Roman" w:cs="Times New Roman"/>
          <w:bCs/>
          <w:sz w:val="24"/>
          <w:szCs w:val="24"/>
        </w:rPr>
        <w:t>6,9</w:t>
      </w:r>
      <w:r>
        <w:rPr>
          <w:rFonts w:ascii="Times New Roman" w:hAnsi="Times New Roman" w:cs="Times New Roman"/>
          <w:bCs/>
          <w:sz w:val="24"/>
          <w:szCs w:val="24"/>
        </w:rPr>
        <w:t>%, в 1 квартале 20</w:t>
      </w:r>
      <w:r w:rsidR="00F230CB">
        <w:rPr>
          <w:rFonts w:ascii="Times New Roman" w:hAnsi="Times New Roman" w:cs="Times New Roman"/>
          <w:bCs/>
          <w:sz w:val="24"/>
          <w:szCs w:val="24"/>
        </w:rPr>
        <w:t>2</w:t>
      </w:r>
      <w:r w:rsidR="00AA4AD1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AA4AD1">
        <w:rPr>
          <w:rFonts w:ascii="Times New Roman" w:hAnsi="Times New Roman" w:cs="Times New Roman"/>
          <w:bCs/>
          <w:sz w:val="24"/>
          <w:szCs w:val="24"/>
        </w:rPr>
        <w:t>39,7</w:t>
      </w:r>
      <w:r>
        <w:rPr>
          <w:rFonts w:ascii="Times New Roman" w:hAnsi="Times New Roman" w:cs="Times New Roman"/>
          <w:bCs/>
          <w:sz w:val="24"/>
          <w:szCs w:val="24"/>
        </w:rPr>
        <w:t>%.</w:t>
      </w:r>
    </w:p>
    <w:p w:rsidR="00E12AB2" w:rsidRDefault="00E12AB2" w:rsidP="00E12AB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3A54">
        <w:rPr>
          <w:rFonts w:ascii="Times New Roman" w:hAnsi="Times New Roman" w:cs="Times New Roman"/>
          <w:bCs/>
          <w:sz w:val="24"/>
          <w:szCs w:val="24"/>
        </w:rPr>
        <w:t xml:space="preserve">В целом исполнение за 1 квартал </w:t>
      </w:r>
      <w:r>
        <w:rPr>
          <w:rFonts w:ascii="Times New Roman" w:hAnsi="Times New Roman" w:cs="Times New Roman"/>
          <w:bCs/>
          <w:sz w:val="24"/>
          <w:szCs w:val="24"/>
        </w:rPr>
        <w:t>202</w:t>
      </w:r>
      <w:r w:rsidR="009636F0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года </w:t>
      </w:r>
      <w:r w:rsidRPr="00B33A54">
        <w:rPr>
          <w:rFonts w:ascii="Times New Roman" w:hAnsi="Times New Roman" w:cs="Times New Roman"/>
          <w:bCs/>
          <w:sz w:val="24"/>
          <w:szCs w:val="24"/>
        </w:rPr>
        <w:t xml:space="preserve">по доходам </w:t>
      </w:r>
      <w:r w:rsidR="00A32906">
        <w:rPr>
          <w:rFonts w:ascii="Times New Roman" w:hAnsi="Times New Roman" w:cs="Times New Roman"/>
          <w:bCs/>
          <w:sz w:val="24"/>
          <w:szCs w:val="24"/>
        </w:rPr>
        <w:t xml:space="preserve">составило </w:t>
      </w:r>
      <w:r w:rsidR="00CA15C0">
        <w:rPr>
          <w:rFonts w:ascii="Times New Roman" w:hAnsi="Times New Roman" w:cs="Times New Roman"/>
          <w:bCs/>
          <w:sz w:val="24"/>
          <w:szCs w:val="24"/>
        </w:rPr>
        <w:t>1</w:t>
      </w:r>
      <w:r w:rsidR="009636F0">
        <w:rPr>
          <w:rFonts w:ascii="Times New Roman" w:hAnsi="Times New Roman" w:cs="Times New Roman"/>
          <w:bCs/>
          <w:sz w:val="24"/>
          <w:szCs w:val="24"/>
        </w:rPr>
        <w:t>6</w:t>
      </w:r>
      <w:r w:rsidR="00CA15C0">
        <w:rPr>
          <w:rFonts w:ascii="Times New Roman" w:hAnsi="Times New Roman" w:cs="Times New Roman"/>
          <w:bCs/>
          <w:sz w:val="24"/>
          <w:szCs w:val="24"/>
        </w:rPr>
        <w:t>,0</w:t>
      </w:r>
      <w:r w:rsidR="00045F93">
        <w:rPr>
          <w:rFonts w:ascii="Times New Roman" w:hAnsi="Times New Roman" w:cs="Times New Roman"/>
          <w:bCs/>
          <w:sz w:val="24"/>
          <w:szCs w:val="24"/>
        </w:rPr>
        <w:t>%</w:t>
      </w:r>
      <w:r w:rsidRPr="00B33A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процент</w:t>
      </w:r>
      <w:r w:rsidR="00045F93">
        <w:rPr>
          <w:rFonts w:ascii="Times New Roman" w:hAnsi="Times New Roman" w:cs="Times New Roman"/>
          <w:bCs/>
          <w:sz w:val="24"/>
          <w:szCs w:val="24"/>
        </w:rPr>
        <w:t>ов от</w:t>
      </w:r>
      <w:r w:rsidR="00A32906">
        <w:rPr>
          <w:rFonts w:ascii="Times New Roman" w:hAnsi="Times New Roman" w:cs="Times New Roman"/>
          <w:bCs/>
          <w:sz w:val="24"/>
          <w:szCs w:val="24"/>
        </w:rPr>
        <w:t xml:space="preserve"> плановых</w:t>
      </w:r>
      <w:r w:rsidR="00045F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3A54">
        <w:rPr>
          <w:rFonts w:ascii="Times New Roman" w:hAnsi="Times New Roman" w:cs="Times New Roman"/>
          <w:bCs/>
          <w:sz w:val="24"/>
          <w:szCs w:val="24"/>
        </w:rPr>
        <w:t xml:space="preserve">годовых назначений. </w:t>
      </w:r>
    </w:p>
    <w:p w:rsidR="00690288" w:rsidRDefault="00E12AB2" w:rsidP="00E12AB2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317C">
        <w:rPr>
          <w:rFonts w:ascii="Times New Roman" w:hAnsi="Times New Roman" w:cs="Times New Roman"/>
          <w:bCs/>
          <w:sz w:val="24"/>
          <w:szCs w:val="24"/>
        </w:rPr>
        <w:t>Таб</w:t>
      </w:r>
      <w:r w:rsidRPr="00B33A54">
        <w:rPr>
          <w:rFonts w:ascii="Times New Roman" w:hAnsi="Times New Roman" w:cs="Times New Roman"/>
          <w:bCs/>
          <w:sz w:val="24"/>
          <w:szCs w:val="24"/>
        </w:rPr>
        <w:t xml:space="preserve">лица 1. Структура собственных доходов, исполнение поступлений относительно </w:t>
      </w:r>
    </w:p>
    <w:p w:rsidR="00E12AB2" w:rsidRDefault="00E12AB2" w:rsidP="00E12AB2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3A54">
        <w:rPr>
          <w:rFonts w:ascii="Times New Roman" w:hAnsi="Times New Roman" w:cs="Times New Roman"/>
          <w:bCs/>
          <w:sz w:val="24"/>
          <w:szCs w:val="24"/>
        </w:rPr>
        <w:t>годовых назначений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95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1716"/>
        <w:gridCol w:w="1565"/>
        <w:gridCol w:w="1275"/>
        <w:gridCol w:w="1134"/>
      </w:tblGrid>
      <w:tr w:rsidR="00E12AB2" w:rsidRPr="003546C5" w:rsidTr="001044B9">
        <w:trPr>
          <w:trHeight w:val="20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AB2" w:rsidRPr="003546C5" w:rsidRDefault="00E12AB2" w:rsidP="0010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546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Показатель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AB2" w:rsidRPr="003546C5" w:rsidRDefault="00E12AB2" w:rsidP="00AA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546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Утвержденные бюджетные назначения на 202</w:t>
            </w:r>
            <w:r w:rsidR="00AA4AD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  <w:r w:rsidRPr="003546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год, </w:t>
            </w:r>
            <w:r w:rsidR="00FD19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млн</w:t>
            </w:r>
            <w:r w:rsidRPr="003546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 руб.</w:t>
            </w:r>
          </w:p>
        </w:tc>
        <w:tc>
          <w:tcPr>
            <w:tcW w:w="3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B2" w:rsidRPr="003546C5" w:rsidRDefault="00E12AB2" w:rsidP="00AA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546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 квартал 202</w:t>
            </w:r>
            <w:r w:rsidR="00AA4AD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  <w:r w:rsidRPr="003546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года</w:t>
            </w:r>
          </w:p>
        </w:tc>
      </w:tr>
      <w:tr w:rsidR="00E12AB2" w:rsidRPr="003546C5" w:rsidTr="001044B9">
        <w:trPr>
          <w:trHeight w:val="20"/>
        </w:trPr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B2" w:rsidRPr="003546C5" w:rsidRDefault="00E12AB2" w:rsidP="001044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B2" w:rsidRPr="003546C5" w:rsidRDefault="00E12AB2" w:rsidP="0010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B2" w:rsidRPr="003546C5" w:rsidRDefault="00E12AB2" w:rsidP="00FD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546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кассовое исполнение, </w:t>
            </w:r>
            <w:r w:rsidR="00FD19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млн</w:t>
            </w:r>
            <w:r w:rsidRPr="003546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 руб.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B2" w:rsidRPr="003546C5" w:rsidRDefault="00E12AB2" w:rsidP="0010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546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исполнения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B2" w:rsidRPr="003546C5" w:rsidRDefault="00E12AB2" w:rsidP="0010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546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доля, %</w:t>
            </w:r>
          </w:p>
        </w:tc>
      </w:tr>
      <w:tr w:rsidR="00A22A07" w:rsidRPr="003546C5" w:rsidTr="001E5A3C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07" w:rsidRPr="003546C5" w:rsidRDefault="00A22A07" w:rsidP="00104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4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07" w:rsidRPr="003546C5" w:rsidRDefault="00B5193C" w:rsidP="009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276,04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07" w:rsidRPr="003546C5" w:rsidRDefault="00B5193C" w:rsidP="0010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07" w:rsidRPr="003546C5" w:rsidRDefault="00B5193C" w:rsidP="00B5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A07" w:rsidRPr="00A22A07" w:rsidRDefault="00B13E6F" w:rsidP="001E5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78,6</w:t>
            </w:r>
          </w:p>
        </w:tc>
      </w:tr>
      <w:tr w:rsidR="00A22A07" w:rsidRPr="003546C5" w:rsidTr="001E5A3C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07" w:rsidRPr="003546C5" w:rsidRDefault="00A22A07" w:rsidP="00104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4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07" w:rsidRPr="003546C5" w:rsidRDefault="00B5193C" w:rsidP="0030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23,95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07" w:rsidRPr="003546C5" w:rsidRDefault="00B5193C" w:rsidP="0051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07" w:rsidRPr="003546C5" w:rsidRDefault="00B5193C" w:rsidP="00A3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A07" w:rsidRPr="00A22A07" w:rsidRDefault="00B13E6F" w:rsidP="008F20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</w:t>
            </w:r>
            <w:r w:rsidR="008F20E6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A22A07" w:rsidRPr="003546C5" w:rsidTr="001E5A3C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07" w:rsidRPr="003546C5" w:rsidRDefault="00A22A07" w:rsidP="00104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4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A07" w:rsidRPr="003546C5" w:rsidRDefault="00B5193C" w:rsidP="0010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13,71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A07" w:rsidRPr="003546C5" w:rsidRDefault="00B5193C" w:rsidP="00A3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07" w:rsidRPr="003546C5" w:rsidRDefault="00B5193C" w:rsidP="00A3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A07" w:rsidRPr="00A22A07" w:rsidRDefault="00B13E6F" w:rsidP="00C740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</w:t>
            </w:r>
            <w:r w:rsidR="00C74061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A22A07" w:rsidRPr="003546C5" w:rsidTr="001E5A3C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07" w:rsidRPr="003546C5" w:rsidRDefault="00A22A07" w:rsidP="00104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4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07" w:rsidRPr="003546C5" w:rsidRDefault="00B5193C" w:rsidP="0030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23,39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07" w:rsidRPr="003546C5" w:rsidRDefault="00B5193C" w:rsidP="0030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07" w:rsidRPr="003546C5" w:rsidRDefault="00B5193C" w:rsidP="00A3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A07" w:rsidRPr="00A22A07" w:rsidRDefault="00B13E6F" w:rsidP="00484C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4,4</w:t>
            </w:r>
          </w:p>
        </w:tc>
      </w:tr>
      <w:tr w:rsidR="00A22A07" w:rsidRPr="003546C5" w:rsidTr="001E5A3C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07" w:rsidRPr="003546C5" w:rsidRDefault="00A22A07" w:rsidP="00104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4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07" w:rsidRPr="003546C5" w:rsidRDefault="00A22A07" w:rsidP="00C7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07" w:rsidRPr="003546C5" w:rsidRDefault="00B5193C" w:rsidP="00C7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</w:t>
            </w:r>
            <w:r w:rsidR="00916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C740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07" w:rsidRPr="003546C5" w:rsidRDefault="00B5193C" w:rsidP="00A3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A07" w:rsidRPr="00A22A07" w:rsidRDefault="005D32E1" w:rsidP="001E5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22A07" w:rsidRPr="003546C5" w:rsidTr="001E5A3C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07" w:rsidRPr="003546C5" w:rsidRDefault="00A22A07" w:rsidP="00104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4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07" w:rsidRPr="003546C5" w:rsidRDefault="007C7FFC" w:rsidP="00A3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07" w:rsidRPr="003546C5" w:rsidRDefault="007C7FFC" w:rsidP="00A3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07" w:rsidRPr="003546C5" w:rsidRDefault="007C7FFC" w:rsidP="00A3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A07" w:rsidRPr="00A22A07" w:rsidRDefault="00A22A07" w:rsidP="008F20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2A07">
              <w:rPr>
                <w:rFonts w:ascii="Times New Roman" w:hAnsi="Times New Roman" w:cs="Times New Roman"/>
                <w:color w:val="000000"/>
              </w:rPr>
              <w:t>1,</w:t>
            </w:r>
            <w:r w:rsidR="008F20E6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A22A07" w:rsidRPr="003546C5" w:rsidTr="001E5A3C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07" w:rsidRPr="003546C5" w:rsidRDefault="00A22A07" w:rsidP="00104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4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A07" w:rsidRPr="003546C5" w:rsidRDefault="007C7FFC" w:rsidP="00A3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11,66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A07" w:rsidRPr="003546C5" w:rsidRDefault="007C7FFC" w:rsidP="00D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07" w:rsidRPr="003546C5" w:rsidRDefault="007C7FFC" w:rsidP="00A3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A07" w:rsidRPr="00A22A07" w:rsidRDefault="00B13E6F" w:rsidP="008F20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</w:t>
            </w:r>
            <w:r w:rsidR="008F20E6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A22A07" w:rsidRPr="003546C5" w:rsidTr="001E5A3C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07" w:rsidRPr="003546C5" w:rsidRDefault="00A22A07" w:rsidP="00104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4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07" w:rsidRPr="003546C5" w:rsidRDefault="005D32E1" w:rsidP="00764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07" w:rsidRPr="003546C5" w:rsidRDefault="00916552" w:rsidP="0030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07" w:rsidRPr="003546C5" w:rsidRDefault="005D32E1" w:rsidP="00A3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A07" w:rsidRPr="00A22A07" w:rsidRDefault="005D32E1" w:rsidP="001E5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8F20E6">
              <w:rPr>
                <w:rFonts w:ascii="Times New Roman" w:hAnsi="Times New Roman" w:cs="Times New Roman"/>
                <w:color w:val="000000"/>
              </w:rPr>
              <w:t>,2</w:t>
            </w:r>
          </w:p>
        </w:tc>
      </w:tr>
      <w:tr w:rsidR="00A22A07" w:rsidRPr="003546C5" w:rsidTr="001E5A3C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07" w:rsidRPr="003546C5" w:rsidRDefault="00A22A07" w:rsidP="00104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4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07" w:rsidRPr="003546C5" w:rsidRDefault="005D32E1" w:rsidP="00764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07" w:rsidRPr="003546C5" w:rsidRDefault="005D32E1" w:rsidP="00D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07" w:rsidRPr="003546C5" w:rsidRDefault="00B13E6F" w:rsidP="00A3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A07" w:rsidRPr="00A22A07" w:rsidRDefault="00B13E6F" w:rsidP="001E5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0,8</w:t>
            </w:r>
          </w:p>
        </w:tc>
      </w:tr>
      <w:tr w:rsidR="00A22A07" w:rsidRPr="003546C5" w:rsidTr="001E5A3C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07" w:rsidRPr="003546C5" w:rsidRDefault="00A22A07" w:rsidP="00104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4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07" w:rsidRPr="003546C5" w:rsidRDefault="00B13E6F" w:rsidP="00764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07" w:rsidRPr="003546C5" w:rsidRDefault="00A22A07" w:rsidP="00B1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</w:t>
            </w:r>
            <w:r w:rsidR="00B13E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07" w:rsidRPr="003546C5" w:rsidRDefault="00B13E6F" w:rsidP="00A3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A07" w:rsidRPr="00A22A07" w:rsidRDefault="00B13E6F" w:rsidP="001E5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22A07" w:rsidRPr="003546C5" w:rsidTr="008D19BE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07" w:rsidRPr="003546C5" w:rsidRDefault="00A22A07" w:rsidP="00104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4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07" w:rsidRPr="003546C5" w:rsidRDefault="00B13E6F" w:rsidP="0010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07" w:rsidRPr="003546C5" w:rsidRDefault="00B13E6F" w:rsidP="0097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-0,62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07" w:rsidRPr="003546C5" w:rsidRDefault="00B13E6F" w:rsidP="00764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2A07" w:rsidRPr="00A22A07" w:rsidRDefault="008F20E6" w:rsidP="008D1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-1,1</w:t>
            </w:r>
          </w:p>
        </w:tc>
      </w:tr>
      <w:tr w:rsidR="00E12AB2" w:rsidRPr="003546C5" w:rsidTr="001044B9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AB2" w:rsidRPr="003546C5" w:rsidRDefault="00E12AB2" w:rsidP="001044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546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 налоговые и неналоговые доходы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AB2" w:rsidRPr="003546C5" w:rsidRDefault="00B13E6F" w:rsidP="00C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369,99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AB2" w:rsidRPr="003546C5" w:rsidRDefault="007642AC" w:rsidP="00B1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  <w:r w:rsidR="00B13E6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="00B13E6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AB2" w:rsidRPr="003546C5" w:rsidRDefault="00B13E6F" w:rsidP="00A3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AB2" w:rsidRPr="003546C5" w:rsidRDefault="00F362D4" w:rsidP="00A3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</w:tbl>
    <w:p w:rsidR="008D19BE" w:rsidRDefault="00E12AB2" w:rsidP="00E12AB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6C45">
        <w:rPr>
          <w:rFonts w:ascii="Times New Roman" w:hAnsi="Times New Roman" w:cs="Times New Roman"/>
          <w:bCs/>
          <w:sz w:val="24"/>
          <w:szCs w:val="24"/>
        </w:rPr>
        <w:t>Исп</w:t>
      </w:r>
      <w:r w:rsidRPr="00A61442">
        <w:rPr>
          <w:rFonts w:ascii="Times New Roman" w:hAnsi="Times New Roman" w:cs="Times New Roman"/>
          <w:bCs/>
          <w:sz w:val="24"/>
          <w:szCs w:val="24"/>
        </w:rPr>
        <w:t>олнение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относительного годового плана </w:t>
      </w:r>
      <w:r w:rsidRPr="00B33A54">
        <w:rPr>
          <w:rFonts w:ascii="Times New Roman" w:hAnsi="Times New Roman" w:cs="Times New Roman"/>
          <w:bCs/>
          <w:sz w:val="24"/>
          <w:szCs w:val="24"/>
        </w:rPr>
        <w:t>25%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более отмечено </w:t>
      </w:r>
      <w:r w:rsidR="003E184B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="000F214D">
        <w:rPr>
          <w:rFonts w:ascii="Times New Roman" w:hAnsi="Times New Roman" w:cs="Times New Roman"/>
          <w:bCs/>
          <w:sz w:val="24"/>
          <w:szCs w:val="24"/>
        </w:rPr>
        <w:t xml:space="preserve">доходам от </w:t>
      </w:r>
      <w:r w:rsidR="008F20E6">
        <w:rPr>
          <w:rFonts w:ascii="Times New Roman" w:hAnsi="Times New Roman" w:cs="Times New Roman"/>
          <w:bCs/>
          <w:sz w:val="24"/>
          <w:szCs w:val="24"/>
        </w:rPr>
        <w:t xml:space="preserve">государственной пошлины (29,4%), доходы от использования имущества, находящегося в государственной и муниципальной собственности (26,2). </w:t>
      </w:r>
      <w:r w:rsidRPr="00B33A54">
        <w:rPr>
          <w:rFonts w:ascii="Times New Roman" w:hAnsi="Times New Roman" w:cs="Times New Roman"/>
          <w:bCs/>
          <w:sz w:val="24"/>
          <w:szCs w:val="24"/>
        </w:rPr>
        <w:t>По остальным видам собственных доходов исполнение менее 25%.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Наименьшее исполнение отмечено по </w:t>
      </w:r>
      <w:r w:rsidR="008D19BE">
        <w:rPr>
          <w:rFonts w:ascii="Times New Roman" w:hAnsi="Times New Roman" w:cs="Times New Roman"/>
          <w:bCs/>
          <w:sz w:val="24"/>
          <w:szCs w:val="24"/>
        </w:rPr>
        <w:lastRenderedPageBreak/>
        <w:t>поступлению налогов, сборов за пользование природными ресурсами (0,01%), по налогу на совокупный доход (1,3%).</w:t>
      </w:r>
    </w:p>
    <w:p w:rsidR="00E12AB2" w:rsidRDefault="00E12AB2" w:rsidP="008D19BE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3A54">
        <w:rPr>
          <w:rFonts w:ascii="Times New Roman" w:hAnsi="Times New Roman" w:cs="Times New Roman"/>
          <w:bCs/>
          <w:sz w:val="24"/>
          <w:szCs w:val="24"/>
        </w:rPr>
        <w:t xml:space="preserve">Наибольший удельный вес в структуре доходов приходится на </w:t>
      </w:r>
      <w:r w:rsidR="00BF65AF">
        <w:rPr>
          <w:rFonts w:ascii="Times New Roman" w:hAnsi="Times New Roman" w:cs="Times New Roman"/>
          <w:bCs/>
          <w:sz w:val="24"/>
          <w:szCs w:val="24"/>
        </w:rPr>
        <w:t>налоги на прибыль, доходы, (</w:t>
      </w:r>
      <w:r w:rsidR="008D19BE">
        <w:rPr>
          <w:rFonts w:ascii="Times New Roman" w:hAnsi="Times New Roman" w:cs="Times New Roman"/>
          <w:bCs/>
          <w:sz w:val="24"/>
          <w:szCs w:val="24"/>
        </w:rPr>
        <w:t>78,6</w:t>
      </w:r>
      <w:r w:rsidR="00BF65AF">
        <w:rPr>
          <w:rFonts w:ascii="Times New Roman" w:hAnsi="Times New Roman" w:cs="Times New Roman"/>
          <w:bCs/>
          <w:sz w:val="24"/>
          <w:szCs w:val="24"/>
        </w:rPr>
        <w:t>%), налоги на товары (работы, услуги), реализуемые на территории Российской Федерации (</w:t>
      </w:r>
      <w:r w:rsidR="008D19BE">
        <w:rPr>
          <w:rFonts w:ascii="Times New Roman" w:hAnsi="Times New Roman" w:cs="Times New Roman"/>
          <w:bCs/>
          <w:sz w:val="24"/>
          <w:szCs w:val="24"/>
        </w:rPr>
        <w:t>9,6</w:t>
      </w:r>
      <w:r w:rsidR="00BF65AF">
        <w:rPr>
          <w:rFonts w:ascii="Times New Roman" w:hAnsi="Times New Roman" w:cs="Times New Roman"/>
          <w:bCs/>
          <w:sz w:val="24"/>
          <w:szCs w:val="24"/>
        </w:rPr>
        <w:t>%), налоги на имущество</w:t>
      </w:r>
      <w:r w:rsidR="005C40F0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8D19BE">
        <w:rPr>
          <w:rFonts w:ascii="Times New Roman" w:hAnsi="Times New Roman" w:cs="Times New Roman"/>
          <w:bCs/>
          <w:sz w:val="24"/>
          <w:szCs w:val="24"/>
        </w:rPr>
        <w:t>4,4</w:t>
      </w:r>
      <w:r w:rsidR="005C40F0">
        <w:rPr>
          <w:rFonts w:ascii="Times New Roman" w:hAnsi="Times New Roman" w:cs="Times New Roman"/>
          <w:bCs/>
          <w:sz w:val="24"/>
          <w:szCs w:val="24"/>
        </w:rPr>
        <w:t xml:space="preserve">%), </w:t>
      </w:r>
      <w:r w:rsidR="00702C6B">
        <w:rPr>
          <w:rFonts w:ascii="Times New Roman" w:hAnsi="Times New Roman" w:cs="Times New Roman"/>
          <w:bCs/>
          <w:sz w:val="24"/>
          <w:szCs w:val="24"/>
        </w:rPr>
        <w:t>доходы от использования имущества, находящегося в государственной и муниципальной собственности (</w:t>
      </w:r>
      <w:r w:rsidR="008D19BE">
        <w:rPr>
          <w:rFonts w:ascii="Times New Roman" w:hAnsi="Times New Roman" w:cs="Times New Roman"/>
          <w:bCs/>
          <w:sz w:val="24"/>
          <w:szCs w:val="24"/>
        </w:rPr>
        <w:t>6</w:t>
      </w:r>
      <w:r w:rsidR="00702C6B">
        <w:rPr>
          <w:rFonts w:ascii="Times New Roman" w:hAnsi="Times New Roman" w:cs="Times New Roman"/>
          <w:bCs/>
          <w:sz w:val="24"/>
          <w:szCs w:val="24"/>
        </w:rPr>
        <w:t>,</w:t>
      </w:r>
      <w:r w:rsidR="001B7731">
        <w:rPr>
          <w:rFonts w:ascii="Times New Roman" w:hAnsi="Times New Roman" w:cs="Times New Roman"/>
          <w:bCs/>
          <w:sz w:val="24"/>
          <w:szCs w:val="24"/>
        </w:rPr>
        <w:t>6</w:t>
      </w:r>
      <w:r w:rsidR="00702C6B">
        <w:rPr>
          <w:rFonts w:ascii="Times New Roman" w:hAnsi="Times New Roman" w:cs="Times New Roman"/>
          <w:bCs/>
          <w:sz w:val="24"/>
          <w:szCs w:val="24"/>
        </w:rPr>
        <w:t>%),</w:t>
      </w:r>
      <w:r w:rsidR="00BF65AF">
        <w:rPr>
          <w:rFonts w:ascii="Times New Roman" w:hAnsi="Times New Roman" w:cs="Times New Roman"/>
          <w:bCs/>
          <w:sz w:val="24"/>
          <w:szCs w:val="24"/>
        </w:rPr>
        <w:t xml:space="preserve"> прочие неналоговые доходы (</w:t>
      </w:r>
      <w:r w:rsidR="001B7731">
        <w:rPr>
          <w:rFonts w:ascii="Times New Roman" w:hAnsi="Times New Roman" w:cs="Times New Roman"/>
          <w:bCs/>
          <w:sz w:val="24"/>
          <w:szCs w:val="24"/>
        </w:rPr>
        <w:t>2</w:t>
      </w:r>
      <w:r w:rsidR="00BF65AF">
        <w:rPr>
          <w:rFonts w:ascii="Times New Roman" w:hAnsi="Times New Roman" w:cs="Times New Roman"/>
          <w:bCs/>
          <w:sz w:val="24"/>
          <w:szCs w:val="24"/>
        </w:rPr>
        <w:t>,6%)</w:t>
      </w:r>
      <w:r w:rsidR="00A61442">
        <w:rPr>
          <w:rFonts w:ascii="Times New Roman" w:hAnsi="Times New Roman" w:cs="Times New Roman"/>
          <w:bCs/>
          <w:sz w:val="24"/>
          <w:szCs w:val="24"/>
        </w:rPr>
        <w:t>.</w:t>
      </w:r>
      <w:r w:rsidR="00702C6B" w:rsidRPr="00702C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2C6B" w:rsidRPr="00B33A54">
        <w:rPr>
          <w:rFonts w:ascii="Times New Roman" w:hAnsi="Times New Roman" w:cs="Times New Roman"/>
          <w:bCs/>
          <w:sz w:val="24"/>
          <w:szCs w:val="24"/>
        </w:rPr>
        <w:t>Наи</w:t>
      </w:r>
      <w:r w:rsidR="00702C6B">
        <w:rPr>
          <w:rFonts w:ascii="Times New Roman" w:hAnsi="Times New Roman" w:cs="Times New Roman"/>
          <w:bCs/>
          <w:sz w:val="24"/>
          <w:szCs w:val="24"/>
        </w:rPr>
        <w:t>меньший</w:t>
      </w:r>
      <w:r w:rsidR="00702C6B" w:rsidRPr="00B33A54">
        <w:rPr>
          <w:rFonts w:ascii="Times New Roman" w:hAnsi="Times New Roman" w:cs="Times New Roman"/>
          <w:bCs/>
          <w:sz w:val="24"/>
          <w:szCs w:val="24"/>
        </w:rPr>
        <w:t xml:space="preserve"> удельный вес в структуре доходов приходится на</w:t>
      </w:r>
      <w:r w:rsidR="00702C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5980">
        <w:rPr>
          <w:rFonts w:ascii="Times New Roman" w:hAnsi="Times New Roman" w:cs="Times New Roman"/>
          <w:bCs/>
          <w:sz w:val="24"/>
          <w:szCs w:val="24"/>
        </w:rPr>
        <w:t xml:space="preserve">доходы </w:t>
      </w:r>
      <w:r w:rsidR="008D19BE">
        <w:rPr>
          <w:rFonts w:ascii="Times New Roman" w:hAnsi="Times New Roman" w:cs="Times New Roman"/>
          <w:bCs/>
          <w:sz w:val="24"/>
          <w:szCs w:val="24"/>
        </w:rPr>
        <w:t>по</w:t>
      </w:r>
      <w:r w:rsidR="008D19BE" w:rsidRPr="008D19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19BE">
        <w:rPr>
          <w:rFonts w:ascii="Times New Roman" w:hAnsi="Times New Roman" w:cs="Times New Roman"/>
          <w:bCs/>
          <w:sz w:val="24"/>
          <w:szCs w:val="24"/>
        </w:rPr>
        <w:t>поступлению налогов, сборов за пользование природными ресурсами (0%), от</w:t>
      </w:r>
      <w:r w:rsidR="00425980">
        <w:rPr>
          <w:rFonts w:ascii="Times New Roman" w:hAnsi="Times New Roman" w:cs="Times New Roman"/>
          <w:bCs/>
          <w:sz w:val="24"/>
          <w:szCs w:val="24"/>
        </w:rPr>
        <w:t xml:space="preserve"> оказания платных услуг и компенсации затрат государства</w:t>
      </w:r>
      <w:r w:rsidR="00702C6B">
        <w:rPr>
          <w:rFonts w:ascii="Times New Roman" w:hAnsi="Times New Roman" w:cs="Times New Roman"/>
          <w:bCs/>
          <w:sz w:val="24"/>
          <w:szCs w:val="24"/>
        </w:rPr>
        <w:t xml:space="preserve"> (0,</w:t>
      </w:r>
      <w:r w:rsidR="00425980">
        <w:rPr>
          <w:rFonts w:ascii="Times New Roman" w:hAnsi="Times New Roman" w:cs="Times New Roman"/>
          <w:bCs/>
          <w:sz w:val="24"/>
          <w:szCs w:val="24"/>
        </w:rPr>
        <w:t>2</w:t>
      </w:r>
      <w:r w:rsidR="00702C6B">
        <w:rPr>
          <w:rFonts w:ascii="Times New Roman" w:hAnsi="Times New Roman" w:cs="Times New Roman"/>
          <w:bCs/>
          <w:sz w:val="24"/>
          <w:szCs w:val="24"/>
        </w:rPr>
        <w:t>%),</w:t>
      </w:r>
      <w:r w:rsidR="00425980" w:rsidRPr="004259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5980">
        <w:rPr>
          <w:rFonts w:ascii="Times New Roman" w:hAnsi="Times New Roman" w:cs="Times New Roman"/>
          <w:bCs/>
          <w:sz w:val="24"/>
          <w:szCs w:val="24"/>
        </w:rPr>
        <w:t>штрафы, санкции возмещение ущерба (0%).</w:t>
      </w:r>
    </w:p>
    <w:p w:rsidR="00E12AB2" w:rsidRDefault="00E12AB2" w:rsidP="00E12AB2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543F">
        <w:rPr>
          <w:rFonts w:ascii="Times New Roman" w:hAnsi="Times New Roman" w:cs="Times New Roman"/>
          <w:bCs/>
          <w:sz w:val="24"/>
          <w:szCs w:val="24"/>
        </w:rPr>
        <w:t>Таблица 2</w:t>
      </w:r>
      <w:r w:rsidRPr="0068736E">
        <w:rPr>
          <w:rFonts w:ascii="Times New Roman" w:hAnsi="Times New Roman" w:cs="Times New Roman"/>
          <w:bCs/>
          <w:sz w:val="24"/>
          <w:szCs w:val="24"/>
        </w:rPr>
        <w:t>. Выполнение плана по собственным доходам в сравнении с аналогичными показателями предыдущих лет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9287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0"/>
        <w:gridCol w:w="817"/>
        <w:gridCol w:w="817"/>
        <w:gridCol w:w="817"/>
        <w:gridCol w:w="817"/>
        <w:gridCol w:w="1064"/>
        <w:gridCol w:w="1005"/>
      </w:tblGrid>
      <w:tr w:rsidR="00E12AB2" w:rsidRPr="00925212" w:rsidTr="000B5FEB">
        <w:trPr>
          <w:trHeight w:val="20"/>
          <w:jc w:val="center"/>
        </w:trPr>
        <w:tc>
          <w:tcPr>
            <w:tcW w:w="3950" w:type="dxa"/>
            <w:vMerge w:val="restart"/>
            <w:shd w:val="clear" w:color="auto" w:fill="auto"/>
            <w:vAlign w:val="center"/>
            <w:hideMark/>
          </w:tcPr>
          <w:p w:rsidR="00E12AB2" w:rsidRPr="00925212" w:rsidRDefault="00E12AB2" w:rsidP="0010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2521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Показатель</w:t>
            </w:r>
          </w:p>
        </w:tc>
        <w:tc>
          <w:tcPr>
            <w:tcW w:w="3268" w:type="dxa"/>
            <w:gridSpan w:val="4"/>
            <w:shd w:val="clear" w:color="auto" w:fill="auto"/>
            <w:vAlign w:val="center"/>
            <w:hideMark/>
          </w:tcPr>
          <w:p w:rsidR="00E12AB2" w:rsidRPr="00925212" w:rsidRDefault="00E12AB2" w:rsidP="00FD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2521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Кассовое исполнение </w:t>
            </w:r>
            <w:r w:rsidR="00FD19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млн</w:t>
            </w:r>
            <w:r w:rsidRPr="0092521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 руб.</w:t>
            </w:r>
          </w:p>
        </w:tc>
        <w:tc>
          <w:tcPr>
            <w:tcW w:w="2069" w:type="dxa"/>
            <w:gridSpan w:val="2"/>
            <w:shd w:val="clear" w:color="auto" w:fill="auto"/>
            <w:vAlign w:val="center"/>
          </w:tcPr>
          <w:p w:rsidR="00E12AB2" w:rsidRPr="00925212" w:rsidRDefault="00E12AB2" w:rsidP="0010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2521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Изменение, %</w:t>
            </w:r>
          </w:p>
        </w:tc>
      </w:tr>
      <w:tr w:rsidR="00394E7D" w:rsidRPr="00925212" w:rsidTr="000B5FEB">
        <w:trPr>
          <w:trHeight w:val="20"/>
          <w:jc w:val="center"/>
        </w:trPr>
        <w:tc>
          <w:tcPr>
            <w:tcW w:w="3950" w:type="dxa"/>
            <w:vMerge/>
            <w:shd w:val="clear" w:color="auto" w:fill="auto"/>
            <w:vAlign w:val="center"/>
          </w:tcPr>
          <w:p w:rsidR="00394E7D" w:rsidRPr="00925212" w:rsidRDefault="00394E7D" w:rsidP="001044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394E7D" w:rsidRPr="00925212" w:rsidRDefault="00394E7D" w:rsidP="000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2521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кв.</w:t>
            </w:r>
            <w:r w:rsidRPr="0092521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394E7D" w:rsidRPr="00925212" w:rsidRDefault="00394E7D" w:rsidP="000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2521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кв.</w:t>
            </w:r>
            <w:r w:rsidRPr="0092521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394E7D" w:rsidRPr="00925212" w:rsidRDefault="00394E7D" w:rsidP="000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2521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кв.</w:t>
            </w:r>
            <w:r w:rsidRPr="0092521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817" w:type="dxa"/>
            <w:vAlign w:val="center"/>
          </w:tcPr>
          <w:p w:rsidR="00394E7D" w:rsidRPr="00925212" w:rsidRDefault="00394E7D" w:rsidP="003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2521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кв.</w:t>
            </w:r>
            <w:r w:rsidRPr="0092521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394E7D" w:rsidRPr="00925212" w:rsidRDefault="00394E7D" w:rsidP="003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2521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  <w:r w:rsidRPr="0092521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/202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394E7D" w:rsidRPr="00925212" w:rsidRDefault="00394E7D" w:rsidP="0039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2521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6 </w:t>
            </w:r>
            <w:r w:rsidRPr="0092521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24</w:t>
            </w:r>
          </w:p>
        </w:tc>
      </w:tr>
      <w:tr w:rsidR="00EB5CBE" w:rsidRPr="00925212" w:rsidTr="00B12356">
        <w:trPr>
          <w:trHeight w:val="20"/>
          <w:jc w:val="center"/>
        </w:trPr>
        <w:tc>
          <w:tcPr>
            <w:tcW w:w="3950" w:type="dxa"/>
            <w:shd w:val="clear" w:color="auto" w:fill="auto"/>
            <w:vAlign w:val="center"/>
            <w:hideMark/>
          </w:tcPr>
          <w:p w:rsidR="00EB5CBE" w:rsidRPr="00925212" w:rsidRDefault="00EB5CBE" w:rsidP="00104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B5CBE" w:rsidRPr="003546C5" w:rsidRDefault="00EB5CBE" w:rsidP="000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29,93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:rsidR="00EB5CBE" w:rsidRPr="003546C5" w:rsidRDefault="00EB5CBE" w:rsidP="000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:rsidR="00EB5CBE" w:rsidRPr="003546C5" w:rsidRDefault="00EB5CBE" w:rsidP="000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32,67</w:t>
            </w:r>
          </w:p>
        </w:tc>
        <w:tc>
          <w:tcPr>
            <w:tcW w:w="817" w:type="dxa"/>
            <w:vAlign w:val="center"/>
          </w:tcPr>
          <w:p w:rsidR="00EB5CBE" w:rsidRPr="003546C5" w:rsidRDefault="00EB5CBE" w:rsidP="000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43,14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:rsidR="00EB5CBE" w:rsidRPr="00EB5CBE" w:rsidRDefault="00EB5CBE" w:rsidP="00B123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CBE">
              <w:rPr>
                <w:rFonts w:ascii="Times New Roman" w:hAnsi="Times New Roman" w:cs="Times New Roman"/>
                <w:color w:val="000000"/>
              </w:rPr>
              <w:t>132,04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EB5CBE" w:rsidRPr="00EB5CBE" w:rsidRDefault="00EB5CBE" w:rsidP="00B123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CBE">
              <w:rPr>
                <w:rFonts w:ascii="Times New Roman" w:hAnsi="Times New Roman" w:cs="Times New Roman"/>
                <w:color w:val="000000"/>
              </w:rPr>
              <w:t>147,5</w:t>
            </w:r>
            <w:r w:rsidR="00B12356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EB5CBE" w:rsidRPr="00925212" w:rsidTr="00B12356">
        <w:trPr>
          <w:trHeight w:val="20"/>
          <w:jc w:val="center"/>
        </w:trPr>
        <w:tc>
          <w:tcPr>
            <w:tcW w:w="3950" w:type="dxa"/>
            <w:shd w:val="clear" w:color="auto" w:fill="auto"/>
            <w:vAlign w:val="center"/>
            <w:hideMark/>
          </w:tcPr>
          <w:p w:rsidR="00EB5CBE" w:rsidRPr="00925212" w:rsidRDefault="00EB5CBE" w:rsidP="00104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B5CBE" w:rsidRPr="003546C5" w:rsidRDefault="00EB5CBE" w:rsidP="000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4,86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:rsidR="00EB5CBE" w:rsidRPr="003546C5" w:rsidRDefault="00EB5CBE" w:rsidP="000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5,12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:rsidR="00EB5CBE" w:rsidRPr="003546C5" w:rsidRDefault="00EB5CBE" w:rsidP="000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5,28</w:t>
            </w:r>
          </w:p>
        </w:tc>
        <w:tc>
          <w:tcPr>
            <w:tcW w:w="817" w:type="dxa"/>
            <w:vAlign w:val="center"/>
          </w:tcPr>
          <w:p w:rsidR="00EB5CBE" w:rsidRPr="003546C5" w:rsidRDefault="00EB5CBE" w:rsidP="000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5,25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:rsidR="00EB5CBE" w:rsidRPr="00EB5CBE" w:rsidRDefault="00EB5CBE" w:rsidP="00B123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CBE">
              <w:rPr>
                <w:rFonts w:ascii="Times New Roman" w:hAnsi="Times New Roman" w:cs="Times New Roman"/>
                <w:color w:val="000000"/>
              </w:rPr>
              <w:t>99,43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EB5CBE" w:rsidRPr="00EB5CBE" w:rsidRDefault="00EB5CBE" w:rsidP="00B123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CBE">
              <w:rPr>
                <w:rFonts w:ascii="Times New Roman" w:hAnsi="Times New Roman" w:cs="Times New Roman"/>
                <w:color w:val="000000"/>
              </w:rPr>
              <w:t>102,5</w:t>
            </w:r>
            <w:r w:rsidR="00B12356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EB5CBE" w:rsidRPr="00925212" w:rsidTr="00B12356">
        <w:trPr>
          <w:trHeight w:val="20"/>
          <w:jc w:val="center"/>
        </w:trPr>
        <w:tc>
          <w:tcPr>
            <w:tcW w:w="3950" w:type="dxa"/>
            <w:shd w:val="clear" w:color="auto" w:fill="auto"/>
            <w:vAlign w:val="center"/>
            <w:hideMark/>
          </w:tcPr>
          <w:p w:rsidR="00EB5CBE" w:rsidRPr="00925212" w:rsidRDefault="00EB5CBE" w:rsidP="00104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B5CBE" w:rsidRPr="003546C5" w:rsidRDefault="00EB5CBE" w:rsidP="000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0,45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:rsidR="00EB5CBE" w:rsidRPr="003546C5" w:rsidRDefault="00EB5CBE" w:rsidP="000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1,39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:rsidR="00EB5CBE" w:rsidRPr="003546C5" w:rsidRDefault="00EB5CBE" w:rsidP="000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1,96</w:t>
            </w:r>
          </w:p>
        </w:tc>
        <w:tc>
          <w:tcPr>
            <w:tcW w:w="817" w:type="dxa"/>
            <w:vAlign w:val="center"/>
          </w:tcPr>
          <w:p w:rsidR="00EB5CBE" w:rsidRPr="003546C5" w:rsidRDefault="00EB5CBE" w:rsidP="000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:rsidR="00EB5CBE" w:rsidRPr="00EB5CBE" w:rsidRDefault="00EB5CBE" w:rsidP="00B123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CBE">
              <w:rPr>
                <w:rFonts w:ascii="Times New Roman" w:hAnsi="Times New Roman" w:cs="Times New Roman"/>
                <w:color w:val="000000"/>
              </w:rPr>
              <w:t>9,18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EB5CBE" w:rsidRPr="00EB5CBE" w:rsidRDefault="00EB5CBE" w:rsidP="00B123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CBE">
              <w:rPr>
                <w:rFonts w:ascii="Times New Roman" w:hAnsi="Times New Roman" w:cs="Times New Roman"/>
                <w:color w:val="000000"/>
              </w:rPr>
              <w:t>12,9</w:t>
            </w:r>
          </w:p>
        </w:tc>
      </w:tr>
      <w:tr w:rsidR="00EB5CBE" w:rsidRPr="00925212" w:rsidTr="00B12356">
        <w:trPr>
          <w:trHeight w:val="20"/>
          <w:jc w:val="center"/>
        </w:trPr>
        <w:tc>
          <w:tcPr>
            <w:tcW w:w="3950" w:type="dxa"/>
            <w:shd w:val="clear" w:color="auto" w:fill="auto"/>
            <w:vAlign w:val="center"/>
            <w:hideMark/>
          </w:tcPr>
          <w:p w:rsidR="00EB5CBE" w:rsidRPr="00925212" w:rsidRDefault="00EB5CBE" w:rsidP="00104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B5CBE" w:rsidRPr="003546C5" w:rsidRDefault="00EB5CBE" w:rsidP="000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3,06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:rsidR="00EB5CBE" w:rsidRPr="003546C5" w:rsidRDefault="00EB5CBE" w:rsidP="000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4,04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:rsidR="00EB5CBE" w:rsidRPr="003546C5" w:rsidRDefault="00EB5CBE" w:rsidP="000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4,24</w:t>
            </w:r>
          </w:p>
        </w:tc>
        <w:tc>
          <w:tcPr>
            <w:tcW w:w="817" w:type="dxa"/>
            <w:vAlign w:val="center"/>
          </w:tcPr>
          <w:p w:rsidR="00EB5CBE" w:rsidRPr="003546C5" w:rsidRDefault="00EB5CBE" w:rsidP="000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2,43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:rsidR="00EB5CBE" w:rsidRPr="00EB5CBE" w:rsidRDefault="00EB5CBE" w:rsidP="00B123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CBE">
              <w:rPr>
                <w:rFonts w:ascii="Times New Roman" w:hAnsi="Times New Roman" w:cs="Times New Roman"/>
                <w:color w:val="000000"/>
              </w:rPr>
              <w:t>57,31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EB5CBE" w:rsidRPr="00EB5CBE" w:rsidRDefault="00EB5CBE" w:rsidP="00B123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CBE">
              <w:rPr>
                <w:rFonts w:ascii="Times New Roman" w:hAnsi="Times New Roman" w:cs="Times New Roman"/>
                <w:color w:val="000000"/>
              </w:rPr>
              <w:t>60,1</w:t>
            </w:r>
            <w:r w:rsidR="00B12356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EB5CBE" w:rsidRPr="00925212" w:rsidTr="00B12356">
        <w:trPr>
          <w:trHeight w:val="20"/>
          <w:jc w:val="center"/>
        </w:trPr>
        <w:tc>
          <w:tcPr>
            <w:tcW w:w="3950" w:type="dxa"/>
            <w:shd w:val="clear" w:color="auto" w:fill="auto"/>
            <w:vAlign w:val="center"/>
            <w:hideMark/>
          </w:tcPr>
          <w:p w:rsidR="00EB5CBE" w:rsidRPr="00925212" w:rsidRDefault="00EB5CBE" w:rsidP="00F01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1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01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СБОРЫ И РЕГУЛЯРНЫЕ ПЛАТЕЖИ ЗА ПОЛЬЗОВАНИЕ ПРИРОДНЫМИ РЕСУРСАМИ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B5CBE" w:rsidRPr="00925212" w:rsidRDefault="00EB5CBE" w:rsidP="000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0,24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:rsidR="00EB5CBE" w:rsidRPr="00925212" w:rsidRDefault="00EB5CBE" w:rsidP="000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3,20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:rsidR="00EB5CBE" w:rsidRPr="003546C5" w:rsidRDefault="00EB5CBE" w:rsidP="000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8,19</w:t>
            </w:r>
          </w:p>
        </w:tc>
        <w:tc>
          <w:tcPr>
            <w:tcW w:w="817" w:type="dxa"/>
            <w:vAlign w:val="center"/>
          </w:tcPr>
          <w:p w:rsidR="00EB5CBE" w:rsidRPr="003546C5" w:rsidRDefault="00EB5CBE" w:rsidP="000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:rsidR="00EB5CBE" w:rsidRPr="00EB5CBE" w:rsidRDefault="00EB5CBE" w:rsidP="00B123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CBE">
              <w:rPr>
                <w:rFonts w:ascii="Times New Roman" w:hAnsi="Times New Roman" w:cs="Times New Roman"/>
                <w:color w:val="000000"/>
              </w:rPr>
              <w:t>0,12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EB5CBE" w:rsidRPr="00EB5CBE" w:rsidRDefault="00EB5CBE" w:rsidP="00B123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CBE">
              <w:rPr>
                <w:rFonts w:ascii="Times New Roman" w:hAnsi="Times New Roman" w:cs="Times New Roman"/>
                <w:color w:val="000000"/>
              </w:rPr>
              <w:t>0,31</w:t>
            </w:r>
          </w:p>
        </w:tc>
      </w:tr>
      <w:tr w:rsidR="00EB5CBE" w:rsidRPr="00925212" w:rsidTr="00B12356">
        <w:trPr>
          <w:trHeight w:val="20"/>
          <w:jc w:val="center"/>
        </w:trPr>
        <w:tc>
          <w:tcPr>
            <w:tcW w:w="3950" w:type="dxa"/>
            <w:shd w:val="clear" w:color="auto" w:fill="auto"/>
            <w:vAlign w:val="center"/>
            <w:hideMark/>
          </w:tcPr>
          <w:p w:rsidR="00EB5CBE" w:rsidRPr="00925212" w:rsidRDefault="00EB5CBE" w:rsidP="00104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B5CBE" w:rsidRPr="003546C5" w:rsidRDefault="00EB5CBE" w:rsidP="000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:rsidR="00EB5CBE" w:rsidRPr="003546C5" w:rsidRDefault="00EB5CBE" w:rsidP="000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0,23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:rsidR="00EB5CBE" w:rsidRPr="003546C5" w:rsidRDefault="00EB5CBE" w:rsidP="000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0,86</w:t>
            </w:r>
          </w:p>
        </w:tc>
        <w:tc>
          <w:tcPr>
            <w:tcW w:w="817" w:type="dxa"/>
            <w:vAlign w:val="center"/>
          </w:tcPr>
          <w:p w:rsidR="00EB5CBE" w:rsidRPr="003546C5" w:rsidRDefault="00EB5CBE" w:rsidP="000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0,87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:rsidR="00EB5CBE" w:rsidRPr="00EB5CBE" w:rsidRDefault="00EB5CBE" w:rsidP="00B123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CBE">
              <w:rPr>
                <w:rFonts w:ascii="Times New Roman" w:hAnsi="Times New Roman" w:cs="Times New Roman"/>
                <w:color w:val="000000"/>
              </w:rPr>
              <w:t>101,16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EB5CBE" w:rsidRPr="00EB5CBE" w:rsidRDefault="00EB5CBE" w:rsidP="00B123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CBE">
              <w:rPr>
                <w:rFonts w:ascii="Times New Roman" w:hAnsi="Times New Roman" w:cs="Times New Roman"/>
                <w:color w:val="000000"/>
              </w:rPr>
              <w:t>378,26</w:t>
            </w:r>
          </w:p>
        </w:tc>
      </w:tr>
      <w:tr w:rsidR="00EB5CBE" w:rsidRPr="00925212" w:rsidTr="00B12356">
        <w:trPr>
          <w:trHeight w:val="20"/>
          <w:jc w:val="center"/>
        </w:trPr>
        <w:tc>
          <w:tcPr>
            <w:tcW w:w="3950" w:type="dxa"/>
            <w:shd w:val="clear" w:color="auto" w:fill="auto"/>
            <w:vAlign w:val="center"/>
            <w:hideMark/>
          </w:tcPr>
          <w:p w:rsidR="00EB5CBE" w:rsidRPr="00925212" w:rsidRDefault="00EB5CBE" w:rsidP="00104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B5CBE" w:rsidRPr="003546C5" w:rsidRDefault="00EB5CBE" w:rsidP="000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2,63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:rsidR="00EB5CBE" w:rsidRPr="003546C5" w:rsidRDefault="00EB5CBE" w:rsidP="000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3,73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:rsidR="00EB5CBE" w:rsidRPr="003546C5" w:rsidRDefault="00EB5CBE" w:rsidP="000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2,70</w:t>
            </w:r>
          </w:p>
        </w:tc>
        <w:tc>
          <w:tcPr>
            <w:tcW w:w="817" w:type="dxa"/>
            <w:vAlign w:val="center"/>
          </w:tcPr>
          <w:p w:rsidR="00EB5CBE" w:rsidRPr="003546C5" w:rsidRDefault="00EB5CBE" w:rsidP="0042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3,06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:rsidR="00EB5CBE" w:rsidRPr="00EB5CBE" w:rsidRDefault="00EB5CBE" w:rsidP="00B123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CBE">
              <w:rPr>
                <w:rFonts w:ascii="Times New Roman" w:hAnsi="Times New Roman" w:cs="Times New Roman"/>
                <w:color w:val="000000"/>
              </w:rPr>
              <w:t>113,33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EB5CBE" w:rsidRPr="00EB5CBE" w:rsidRDefault="00EB5CBE" w:rsidP="00B123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CBE">
              <w:rPr>
                <w:rFonts w:ascii="Times New Roman" w:hAnsi="Times New Roman" w:cs="Times New Roman"/>
                <w:color w:val="000000"/>
              </w:rPr>
              <w:t>82,0</w:t>
            </w:r>
            <w:r w:rsidR="00B12356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EB5CBE" w:rsidRPr="00925212" w:rsidTr="00B12356">
        <w:trPr>
          <w:trHeight w:val="20"/>
          <w:jc w:val="center"/>
        </w:trPr>
        <w:tc>
          <w:tcPr>
            <w:tcW w:w="3950" w:type="dxa"/>
            <w:shd w:val="clear" w:color="auto" w:fill="auto"/>
            <w:vAlign w:val="center"/>
            <w:hideMark/>
          </w:tcPr>
          <w:p w:rsidR="00EB5CBE" w:rsidRPr="00925212" w:rsidRDefault="00EB5CBE" w:rsidP="00104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B5CBE" w:rsidRPr="003546C5" w:rsidRDefault="00EB5CBE" w:rsidP="000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0,88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:rsidR="00EB5CBE" w:rsidRPr="003546C5" w:rsidRDefault="00EB5CBE" w:rsidP="000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:rsidR="00EB5CBE" w:rsidRPr="003546C5" w:rsidRDefault="00EB5CBE" w:rsidP="000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817" w:type="dxa"/>
            <w:vAlign w:val="center"/>
          </w:tcPr>
          <w:p w:rsidR="00EB5CBE" w:rsidRPr="003546C5" w:rsidRDefault="00EB5CBE" w:rsidP="0042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:rsidR="00EB5CBE" w:rsidRPr="00EB5CBE" w:rsidRDefault="00EB5CBE" w:rsidP="00B123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CB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EB5CBE" w:rsidRPr="00EB5CBE" w:rsidRDefault="00EB5CBE" w:rsidP="00B123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CB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B5CBE" w:rsidRPr="00925212" w:rsidTr="00B12356">
        <w:trPr>
          <w:trHeight w:val="20"/>
          <w:jc w:val="center"/>
        </w:trPr>
        <w:tc>
          <w:tcPr>
            <w:tcW w:w="3950" w:type="dxa"/>
            <w:shd w:val="clear" w:color="auto" w:fill="auto"/>
            <w:vAlign w:val="center"/>
            <w:hideMark/>
          </w:tcPr>
          <w:p w:rsidR="00EB5CBE" w:rsidRPr="00925212" w:rsidRDefault="00EB5CBE" w:rsidP="00104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B5CBE" w:rsidRPr="003546C5" w:rsidRDefault="00EB5CBE" w:rsidP="000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:rsidR="00EB5CBE" w:rsidRPr="003546C5" w:rsidRDefault="00EB5CBE" w:rsidP="000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:rsidR="00EB5CBE" w:rsidRPr="003546C5" w:rsidRDefault="00EB5CBE" w:rsidP="000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</w:t>
            </w:r>
          </w:p>
        </w:tc>
        <w:tc>
          <w:tcPr>
            <w:tcW w:w="817" w:type="dxa"/>
            <w:vAlign w:val="center"/>
          </w:tcPr>
          <w:p w:rsidR="00EB5CBE" w:rsidRPr="003546C5" w:rsidRDefault="00EB5CBE" w:rsidP="000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:rsidR="00EB5CBE" w:rsidRPr="00EB5CBE" w:rsidRDefault="00EB5CBE" w:rsidP="00B123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CBE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EB5CBE" w:rsidRPr="00EB5CBE" w:rsidRDefault="00EB5CBE" w:rsidP="00B123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CBE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</w:tr>
      <w:tr w:rsidR="00EB5CBE" w:rsidRPr="00925212" w:rsidTr="00B12356">
        <w:trPr>
          <w:trHeight w:val="20"/>
          <w:jc w:val="center"/>
        </w:trPr>
        <w:tc>
          <w:tcPr>
            <w:tcW w:w="3950" w:type="dxa"/>
            <w:shd w:val="clear" w:color="auto" w:fill="auto"/>
            <w:vAlign w:val="center"/>
            <w:hideMark/>
          </w:tcPr>
          <w:p w:rsidR="00EB5CBE" w:rsidRPr="00925212" w:rsidRDefault="00EB5CBE" w:rsidP="00104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B5CBE" w:rsidRPr="003546C5" w:rsidRDefault="00EB5CBE" w:rsidP="000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0,46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:rsidR="00EB5CBE" w:rsidRPr="003546C5" w:rsidRDefault="00EB5CBE" w:rsidP="000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:rsidR="00EB5CBE" w:rsidRPr="003546C5" w:rsidRDefault="00EB5CBE" w:rsidP="000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1,03</w:t>
            </w:r>
          </w:p>
        </w:tc>
        <w:tc>
          <w:tcPr>
            <w:tcW w:w="817" w:type="dxa"/>
            <w:vAlign w:val="center"/>
          </w:tcPr>
          <w:p w:rsidR="00EB5CBE" w:rsidRPr="003546C5" w:rsidRDefault="00EB5CBE" w:rsidP="000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0,43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:rsidR="00EB5CBE" w:rsidRPr="00EB5CBE" w:rsidRDefault="00EB5CBE" w:rsidP="00B123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CBE">
              <w:rPr>
                <w:rFonts w:ascii="Times New Roman" w:hAnsi="Times New Roman" w:cs="Times New Roman"/>
                <w:color w:val="000000"/>
              </w:rPr>
              <w:t>41,7</w:t>
            </w:r>
            <w:r w:rsidR="00B1235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EB5CBE" w:rsidRPr="00EB5CBE" w:rsidRDefault="00EB5CBE" w:rsidP="00B123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CBE">
              <w:rPr>
                <w:rFonts w:ascii="Times New Roman" w:hAnsi="Times New Roman" w:cs="Times New Roman"/>
                <w:color w:val="000000"/>
              </w:rPr>
              <w:t>215</w:t>
            </w:r>
          </w:p>
        </w:tc>
      </w:tr>
      <w:tr w:rsidR="00EB5CBE" w:rsidRPr="00925212" w:rsidTr="00B12356">
        <w:trPr>
          <w:trHeight w:val="20"/>
          <w:jc w:val="center"/>
        </w:trPr>
        <w:tc>
          <w:tcPr>
            <w:tcW w:w="3950" w:type="dxa"/>
            <w:shd w:val="clear" w:color="auto" w:fill="auto"/>
            <w:vAlign w:val="center"/>
            <w:hideMark/>
          </w:tcPr>
          <w:p w:rsidR="00EB5CBE" w:rsidRPr="00925212" w:rsidRDefault="00EB5CBE" w:rsidP="00104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B5CBE" w:rsidRPr="003546C5" w:rsidRDefault="00EB5CBE" w:rsidP="000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:rsidR="00EB5CBE" w:rsidRPr="003546C5" w:rsidRDefault="00EB5CBE" w:rsidP="000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:rsidR="00EB5CBE" w:rsidRPr="003546C5" w:rsidRDefault="00EB5CBE" w:rsidP="000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0,48</w:t>
            </w:r>
          </w:p>
        </w:tc>
        <w:tc>
          <w:tcPr>
            <w:tcW w:w="817" w:type="dxa"/>
            <w:vAlign w:val="center"/>
          </w:tcPr>
          <w:p w:rsidR="00EB5CBE" w:rsidRPr="003546C5" w:rsidRDefault="00EB5CBE" w:rsidP="000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:rsidR="00EB5CBE" w:rsidRPr="00EB5CBE" w:rsidRDefault="00EB5CBE" w:rsidP="00B123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CBE">
              <w:rPr>
                <w:rFonts w:ascii="Times New Roman" w:hAnsi="Times New Roman" w:cs="Times New Roman"/>
                <w:color w:val="000000"/>
              </w:rPr>
              <w:t>8,33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EB5CBE" w:rsidRPr="00EB5CBE" w:rsidRDefault="00EB5CBE" w:rsidP="00B123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CBE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EB5CBE" w:rsidRPr="00925212" w:rsidTr="00B12356">
        <w:trPr>
          <w:trHeight w:val="20"/>
          <w:jc w:val="center"/>
        </w:trPr>
        <w:tc>
          <w:tcPr>
            <w:tcW w:w="3950" w:type="dxa"/>
            <w:shd w:val="clear" w:color="auto" w:fill="auto"/>
            <w:vAlign w:val="center"/>
            <w:hideMark/>
          </w:tcPr>
          <w:p w:rsidR="00EB5CBE" w:rsidRPr="00925212" w:rsidRDefault="00EB5CBE" w:rsidP="00104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2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B5CBE" w:rsidRPr="00925212" w:rsidRDefault="00EB5CBE" w:rsidP="000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:rsidR="00EB5CBE" w:rsidRPr="003546C5" w:rsidRDefault="00EB5CBE" w:rsidP="000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1,79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:rsidR="00EB5CBE" w:rsidRPr="003546C5" w:rsidRDefault="00EB5CBE" w:rsidP="000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1,56</w:t>
            </w:r>
          </w:p>
        </w:tc>
        <w:tc>
          <w:tcPr>
            <w:tcW w:w="817" w:type="dxa"/>
            <w:vAlign w:val="center"/>
          </w:tcPr>
          <w:p w:rsidR="00EB5CBE" w:rsidRPr="003546C5" w:rsidRDefault="00EB5CBE" w:rsidP="000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-0,62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:rsidR="00EB5CBE" w:rsidRPr="00EB5CBE" w:rsidRDefault="00EB5CBE" w:rsidP="00B123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CBE">
              <w:rPr>
                <w:rFonts w:ascii="Times New Roman" w:hAnsi="Times New Roman" w:cs="Times New Roman"/>
                <w:color w:val="000000"/>
              </w:rPr>
              <w:t>-39,74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EB5CBE" w:rsidRPr="00EB5CBE" w:rsidRDefault="00EB5CBE" w:rsidP="00B123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CBE">
              <w:rPr>
                <w:rFonts w:ascii="Times New Roman" w:hAnsi="Times New Roman" w:cs="Times New Roman"/>
                <w:color w:val="000000"/>
              </w:rPr>
              <w:t>-34,6</w:t>
            </w:r>
            <w:r w:rsidR="00B12356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EB5CBE" w:rsidRPr="006D1359" w:rsidTr="00B12356">
        <w:trPr>
          <w:trHeight w:val="20"/>
          <w:jc w:val="center"/>
        </w:trPr>
        <w:tc>
          <w:tcPr>
            <w:tcW w:w="3950" w:type="dxa"/>
            <w:shd w:val="clear" w:color="auto" w:fill="auto"/>
            <w:vAlign w:val="center"/>
            <w:hideMark/>
          </w:tcPr>
          <w:p w:rsidR="00EB5CBE" w:rsidRPr="006D1359" w:rsidRDefault="00EB5CBE" w:rsidP="001044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D13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 налоговые и неналоговые доходы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B5CBE" w:rsidRPr="006D1359" w:rsidRDefault="00EB5CBE" w:rsidP="000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D13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42,27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:rsidR="00EB5CBE" w:rsidRPr="006D1359" w:rsidRDefault="00EB5CBE" w:rsidP="000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D13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44,54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:rsidR="00EB5CBE" w:rsidRPr="006D1359" w:rsidRDefault="00EB5CBE" w:rsidP="000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D13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59,24</w:t>
            </w:r>
          </w:p>
        </w:tc>
        <w:tc>
          <w:tcPr>
            <w:tcW w:w="817" w:type="dxa"/>
            <w:vAlign w:val="center"/>
          </w:tcPr>
          <w:p w:rsidR="00EB5CBE" w:rsidRPr="003546C5" w:rsidRDefault="00EB5CBE" w:rsidP="000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54,88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:rsidR="00EB5CBE" w:rsidRPr="00B12356" w:rsidRDefault="00EB5CBE" w:rsidP="00B1235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12356">
              <w:rPr>
                <w:rFonts w:ascii="Times New Roman" w:hAnsi="Times New Roman" w:cs="Times New Roman"/>
                <w:b/>
                <w:color w:val="000000"/>
              </w:rPr>
              <w:t>92,64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EB5CBE" w:rsidRPr="00B12356" w:rsidRDefault="00EB5CBE" w:rsidP="00B1235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12356">
              <w:rPr>
                <w:rFonts w:ascii="Times New Roman" w:hAnsi="Times New Roman" w:cs="Times New Roman"/>
                <w:b/>
                <w:color w:val="000000"/>
              </w:rPr>
              <w:t>123,2</w:t>
            </w:r>
            <w:r w:rsidR="00B12356" w:rsidRPr="00B12356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</w:tr>
    </w:tbl>
    <w:p w:rsidR="002F072E" w:rsidRDefault="00E12AB2" w:rsidP="00E12AB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2D4F">
        <w:rPr>
          <w:rFonts w:ascii="Times New Roman" w:hAnsi="Times New Roman" w:cs="Times New Roman"/>
          <w:bCs/>
          <w:sz w:val="24"/>
          <w:szCs w:val="24"/>
        </w:rPr>
        <w:t>По</w:t>
      </w:r>
      <w:r w:rsidRPr="00601C19">
        <w:rPr>
          <w:rFonts w:ascii="Times New Roman" w:hAnsi="Times New Roman" w:cs="Times New Roman"/>
          <w:bCs/>
          <w:sz w:val="24"/>
          <w:szCs w:val="24"/>
        </w:rPr>
        <w:t xml:space="preserve"> сравнению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 аналогичным </w:t>
      </w:r>
      <w:r w:rsidR="00842271">
        <w:rPr>
          <w:rFonts w:ascii="Times New Roman" w:hAnsi="Times New Roman" w:cs="Times New Roman"/>
          <w:bCs/>
          <w:sz w:val="24"/>
          <w:szCs w:val="24"/>
        </w:rPr>
        <w:t>периодом 202</w:t>
      </w:r>
      <w:r w:rsidR="00394E7D">
        <w:rPr>
          <w:rFonts w:ascii="Times New Roman" w:hAnsi="Times New Roman" w:cs="Times New Roman"/>
          <w:bCs/>
          <w:sz w:val="24"/>
          <w:szCs w:val="24"/>
        </w:rPr>
        <w:t>3</w:t>
      </w:r>
      <w:r w:rsidRPr="0068736E">
        <w:rPr>
          <w:rFonts w:ascii="Times New Roman" w:hAnsi="Times New Roman" w:cs="Times New Roman"/>
          <w:bCs/>
          <w:sz w:val="24"/>
          <w:szCs w:val="24"/>
        </w:rPr>
        <w:t xml:space="preserve"> и 20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394E7D">
        <w:rPr>
          <w:rFonts w:ascii="Times New Roman" w:hAnsi="Times New Roman" w:cs="Times New Roman"/>
          <w:bCs/>
          <w:sz w:val="24"/>
          <w:szCs w:val="24"/>
        </w:rPr>
        <w:t>6</w:t>
      </w:r>
      <w:r w:rsidRPr="0068736E">
        <w:rPr>
          <w:rFonts w:ascii="Times New Roman" w:hAnsi="Times New Roman" w:cs="Times New Roman"/>
          <w:bCs/>
          <w:sz w:val="24"/>
          <w:szCs w:val="24"/>
        </w:rPr>
        <w:t xml:space="preserve"> года стабильный рост наблюдается по </w:t>
      </w:r>
      <w:r w:rsidR="00E16008">
        <w:rPr>
          <w:rFonts w:ascii="Times New Roman" w:hAnsi="Times New Roman" w:cs="Times New Roman"/>
          <w:bCs/>
          <w:sz w:val="24"/>
          <w:szCs w:val="24"/>
        </w:rPr>
        <w:t>налогу на прибыль</w:t>
      </w:r>
      <w:r w:rsidR="00AD42AB">
        <w:rPr>
          <w:rFonts w:ascii="Times New Roman" w:hAnsi="Times New Roman" w:cs="Times New Roman"/>
          <w:bCs/>
          <w:sz w:val="24"/>
          <w:szCs w:val="24"/>
        </w:rPr>
        <w:t xml:space="preserve"> доходы</w:t>
      </w:r>
      <w:r w:rsidR="006A7ACB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15317C">
        <w:rPr>
          <w:rFonts w:ascii="Times New Roman" w:hAnsi="Times New Roman" w:cs="Times New Roman"/>
          <w:bCs/>
          <w:sz w:val="24"/>
          <w:szCs w:val="24"/>
        </w:rPr>
        <w:t xml:space="preserve">государственная пошлина. </w:t>
      </w:r>
      <w:r w:rsidRPr="00DB5779">
        <w:rPr>
          <w:rFonts w:ascii="Times New Roman" w:hAnsi="Times New Roman" w:cs="Times New Roman"/>
          <w:bCs/>
          <w:sz w:val="24"/>
          <w:szCs w:val="24"/>
        </w:rPr>
        <w:t>Зн</w:t>
      </w:r>
      <w:r w:rsidRPr="0068736E">
        <w:rPr>
          <w:rFonts w:ascii="Times New Roman" w:hAnsi="Times New Roman" w:cs="Times New Roman"/>
          <w:bCs/>
          <w:sz w:val="24"/>
          <w:szCs w:val="24"/>
        </w:rPr>
        <w:t>ачительный рост относительно 1 квартала 20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B12356">
        <w:rPr>
          <w:rFonts w:ascii="Times New Roman" w:hAnsi="Times New Roman" w:cs="Times New Roman"/>
          <w:bCs/>
          <w:sz w:val="24"/>
          <w:szCs w:val="24"/>
        </w:rPr>
        <w:t>5</w:t>
      </w:r>
      <w:r w:rsidRPr="0068736E">
        <w:rPr>
          <w:rFonts w:ascii="Times New Roman" w:hAnsi="Times New Roman" w:cs="Times New Roman"/>
          <w:bCs/>
          <w:sz w:val="24"/>
          <w:szCs w:val="24"/>
        </w:rPr>
        <w:t xml:space="preserve"> года произошел </w:t>
      </w:r>
      <w:r w:rsidR="00306648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68736E">
        <w:rPr>
          <w:rFonts w:ascii="Times New Roman" w:hAnsi="Times New Roman" w:cs="Times New Roman"/>
          <w:bCs/>
          <w:sz w:val="24"/>
          <w:szCs w:val="24"/>
        </w:rPr>
        <w:t>сумме поступлений</w:t>
      </w:r>
      <w:r w:rsidR="00D32B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1C19" w:rsidRPr="0068736E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="00601C19">
        <w:rPr>
          <w:rFonts w:ascii="Times New Roman" w:hAnsi="Times New Roman" w:cs="Times New Roman"/>
          <w:bCs/>
          <w:sz w:val="24"/>
          <w:szCs w:val="24"/>
        </w:rPr>
        <w:t xml:space="preserve">доходам </w:t>
      </w:r>
      <w:r w:rsidR="00200AD5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930B7F">
        <w:rPr>
          <w:rFonts w:ascii="Times New Roman" w:hAnsi="Times New Roman" w:cs="Times New Roman"/>
          <w:bCs/>
          <w:sz w:val="24"/>
          <w:szCs w:val="24"/>
        </w:rPr>
        <w:lastRenderedPageBreak/>
        <w:t>налоги на прибыль доходы</w:t>
      </w:r>
      <w:r w:rsidR="00930B7F" w:rsidRPr="009865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0B7F">
        <w:rPr>
          <w:rFonts w:ascii="Times New Roman" w:hAnsi="Times New Roman" w:cs="Times New Roman"/>
          <w:bCs/>
          <w:sz w:val="24"/>
          <w:szCs w:val="24"/>
        </w:rPr>
        <w:t>на (32,04%),</w:t>
      </w:r>
      <w:r w:rsidR="00930B7F" w:rsidRPr="009865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0B7F">
        <w:rPr>
          <w:rFonts w:ascii="Times New Roman" w:hAnsi="Times New Roman" w:cs="Times New Roman"/>
          <w:bCs/>
          <w:sz w:val="24"/>
          <w:szCs w:val="24"/>
        </w:rPr>
        <w:t xml:space="preserve">по доходам </w:t>
      </w:r>
      <w:r w:rsidR="006A7ACB">
        <w:rPr>
          <w:rFonts w:ascii="Times New Roman" w:hAnsi="Times New Roman" w:cs="Times New Roman"/>
          <w:bCs/>
          <w:sz w:val="24"/>
          <w:szCs w:val="24"/>
        </w:rPr>
        <w:t>от использования имущества, находящегося в государственной и муниципальной собственности (на 13,33%), и от государственной пошлины (на 1,16%).</w:t>
      </w:r>
      <w:r w:rsidR="006A7ACB" w:rsidRPr="00601C1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12AB2" w:rsidRDefault="00E12AB2" w:rsidP="00930B7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8736E">
        <w:rPr>
          <w:rFonts w:ascii="Times New Roman" w:hAnsi="Times New Roman" w:cs="Times New Roman"/>
          <w:bCs/>
          <w:sz w:val="24"/>
          <w:szCs w:val="24"/>
        </w:rPr>
        <w:t>Снижение относительно 1 квартала 20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B12356">
        <w:rPr>
          <w:rFonts w:ascii="Times New Roman" w:hAnsi="Times New Roman" w:cs="Times New Roman"/>
          <w:bCs/>
          <w:sz w:val="24"/>
          <w:szCs w:val="24"/>
        </w:rPr>
        <w:t>5</w:t>
      </w:r>
      <w:r w:rsidRPr="0068736E">
        <w:rPr>
          <w:rFonts w:ascii="Times New Roman" w:hAnsi="Times New Roman" w:cs="Times New Roman"/>
          <w:bCs/>
          <w:sz w:val="24"/>
          <w:szCs w:val="24"/>
        </w:rPr>
        <w:t xml:space="preserve"> года произошло по </w:t>
      </w:r>
      <w:r w:rsidR="00306648">
        <w:rPr>
          <w:rFonts w:ascii="Times New Roman" w:hAnsi="Times New Roman" w:cs="Times New Roman"/>
          <w:bCs/>
          <w:sz w:val="24"/>
          <w:szCs w:val="24"/>
        </w:rPr>
        <w:t>доходам</w:t>
      </w:r>
      <w:r w:rsidR="006A7ACB">
        <w:rPr>
          <w:rFonts w:ascii="Times New Roman" w:hAnsi="Times New Roman" w:cs="Times New Roman"/>
          <w:bCs/>
          <w:sz w:val="24"/>
          <w:szCs w:val="24"/>
        </w:rPr>
        <w:t xml:space="preserve"> от н</w:t>
      </w:r>
      <w:r w:rsidR="006A7ACB" w:rsidRPr="0068736E">
        <w:rPr>
          <w:rFonts w:ascii="Times New Roman" w:hAnsi="Times New Roman" w:cs="Times New Roman"/>
          <w:bCs/>
          <w:sz w:val="24"/>
          <w:szCs w:val="24"/>
        </w:rPr>
        <w:t>алог</w:t>
      </w:r>
      <w:r w:rsidR="006A7ACB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6A7ACB" w:rsidRPr="0068736E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6A7ACB">
        <w:rPr>
          <w:rFonts w:ascii="Times New Roman" w:hAnsi="Times New Roman" w:cs="Times New Roman"/>
          <w:bCs/>
          <w:sz w:val="24"/>
          <w:szCs w:val="24"/>
        </w:rPr>
        <w:t>товары (работы, услуги) реализуемые на территории Российской Федерации</w:t>
      </w:r>
      <w:r w:rsidR="006A7ACB" w:rsidRPr="006A7A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7ACB">
        <w:rPr>
          <w:rFonts w:ascii="Times New Roman" w:hAnsi="Times New Roman" w:cs="Times New Roman"/>
          <w:bCs/>
          <w:sz w:val="24"/>
          <w:szCs w:val="24"/>
        </w:rPr>
        <w:t>на (</w:t>
      </w:r>
      <w:r w:rsidR="00930B7F">
        <w:rPr>
          <w:rFonts w:ascii="Times New Roman" w:hAnsi="Times New Roman" w:cs="Times New Roman"/>
          <w:bCs/>
          <w:sz w:val="24"/>
          <w:szCs w:val="24"/>
        </w:rPr>
        <w:t>0,57</w:t>
      </w:r>
      <w:r w:rsidR="006A7ACB">
        <w:rPr>
          <w:rFonts w:ascii="Times New Roman" w:hAnsi="Times New Roman" w:cs="Times New Roman"/>
          <w:bCs/>
          <w:sz w:val="24"/>
          <w:szCs w:val="24"/>
        </w:rPr>
        <w:t>%),</w:t>
      </w:r>
      <w:r w:rsidR="006A7ACB" w:rsidRPr="006873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7ACB">
        <w:rPr>
          <w:rFonts w:ascii="Times New Roman" w:hAnsi="Times New Roman" w:cs="Times New Roman"/>
          <w:bCs/>
          <w:sz w:val="24"/>
          <w:szCs w:val="24"/>
        </w:rPr>
        <w:t>налоги на совокупный доход</w:t>
      </w:r>
      <w:r w:rsidR="00930B7F" w:rsidRPr="00930B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0B7F">
        <w:rPr>
          <w:rFonts w:ascii="Times New Roman" w:hAnsi="Times New Roman" w:cs="Times New Roman"/>
          <w:bCs/>
          <w:sz w:val="24"/>
          <w:szCs w:val="24"/>
        </w:rPr>
        <w:t>на (90,82%),</w:t>
      </w:r>
      <w:r w:rsidR="006A7ACB">
        <w:rPr>
          <w:rFonts w:ascii="Times New Roman" w:hAnsi="Times New Roman" w:cs="Times New Roman"/>
          <w:bCs/>
          <w:sz w:val="24"/>
          <w:szCs w:val="24"/>
        </w:rPr>
        <w:t xml:space="preserve"> налоги на имущество</w:t>
      </w:r>
      <w:r w:rsidR="00930B7F" w:rsidRPr="00930B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0B7F">
        <w:rPr>
          <w:rFonts w:ascii="Times New Roman" w:hAnsi="Times New Roman" w:cs="Times New Roman"/>
          <w:bCs/>
          <w:sz w:val="24"/>
          <w:szCs w:val="24"/>
        </w:rPr>
        <w:t>на (42,69%),</w:t>
      </w:r>
      <w:r w:rsidR="006A7ACB">
        <w:rPr>
          <w:rFonts w:ascii="Times New Roman" w:hAnsi="Times New Roman" w:cs="Times New Roman"/>
          <w:bCs/>
          <w:sz w:val="24"/>
          <w:szCs w:val="24"/>
        </w:rPr>
        <w:t xml:space="preserve"> налоги, сборы и регулярные платежи за пользование природными ресурсами</w:t>
      </w:r>
      <w:r w:rsidR="00930B7F" w:rsidRPr="00930B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0B7F">
        <w:rPr>
          <w:rFonts w:ascii="Times New Roman" w:hAnsi="Times New Roman" w:cs="Times New Roman"/>
          <w:bCs/>
          <w:sz w:val="24"/>
          <w:szCs w:val="24"/>
        </w:rPr>
        <w:t>на (99,88%),</w:t>
      </w:r>
      <w:r w:rsidR="006A7ACB">
        <w:rPr>
          <w:rFonts w:ascii="Times New Roman" w:hAnsi="Times New Roman" w:cs="Times New Roman"/>
          <w:bCs/>
          <w:sz w:val="24"/>
          <w:szCs w:val="24"/>
        </w:rPr>
        <w:t xml:space="preserve"> доходы от оказания платных услуг и компенсации затрат государства</w:t>
      </w:r>
      <w:r w:rsidR="00930B7F" w:rsidRPr="00930B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0B7F">
        <w:rPr>
          <w:rFonts w:ascii="Times New Roman" w:hAnsi="Times New Roman" w:cs="Times New Roman"/>
          <w:bCs/>
          <w:sz w:val="24"/>
          <w:szCs w:val="24"/>
        </w:rPr>
        <w:t>на (25,0%),</w:t>
      </w:r>
      <w:r w:rsidR="006A7ACB">
        <w:rPr>
          <w:rFonts w:ascii="Times New Roman" w:hAnsi="Times New Roman" w:cs="Times New Roman"/>
          <w:bCs/>
          <w:sz w:val="24"/>
          <w:szCs w:val="24"/>
        </w:rPr>
        <w:t xml:space="preserve"> доходы от продажи материальных и</w:t>
      </w:r>
      <w:proofErr w:type="gramEnd"/>
      <w:r w:rsidR="006A7ACB">
        <w:rPr>
          <w:rFonts w:ascii="Times New Roman" w:hAnsi="Times New Roman" w:cs="Times New Roman"/>
          <w:bCs/>
          <w:sz w:val="24"/>
          <w:szCs w:val="24"/>
        </w:rPr>
        <w:t xml:space="preserve"> нематериальных активов</w:t>
      </w:r>
      <w:r w:rsidR="00930B7F" w:rsidRPr="00930B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0B7F">
        <w:rPr>
          <w:rFonts w:ascii="Times New Roman" w:hAnsi="Times New Roman" w:cs="Times New Roman"/>
          <w:bCs/>
          <w:sz w:val="24"/>
          <w:szCs w:val="24"/>
        </w:rPr>
        <w:t>на (58,25%),</w:t>
      </w:r>
      <w:r w:rsidR="006A7ACB">
        <w:rPr>
          <w:rFonts w:ascii="Times New Roman" w:hAnsi="Times New Roman" w:cs="Times New Roman"/>
          <w:bCs/>
          <w:sz w:val="24"/>
          <w:szCs w:val="24"/>
        </w:rPr>
        <w:t xml:space="preserve"> штрафы, санкции, возмещение ущерба</w:t>
      </w:r>
      <w:r w:rsidR="00930B7F" w:rsidRPr="00930B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0B7F">
        <w:rPr>
          <w:rFonts w:ascii="Times New Roman" w:hAnsi="Times New Roman" w:cs="Times New Roman"/>
          <w:bCs/>
          <w:sz w:val="24"/>
          <w:szCs w:val="24"/>
        </w:rPr>
        <w:t>на (91,67%),</w:t>
      </w:r>
      <w:r w:rsidR="006A7ACB" w:rsidRPr="006A7A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0812">
        <w:rPr>
          <w:rFonts w:ascii="Times New Roman" w:hAnsi="Times New Roman" w:cs="Times New Roman"/>
          <w:bCs/>
          <w:sz w:val="24"/>
          <w:szCs w:val="24"/>
        </w:rPr>
        <w:t>и прочие неналоговые доходы на (</w:t>
      </w:r>
      <w:r w:rsidR="00930B7F">
        <w:rPr>
          <w:rFonts w:ascii="Times New Roman" w:hAnsi="Times New Roman" w:cs="Times New Roman"/>
          <w:bCs/>
          <w:sz w:val="24"/>
          <w:szCs w:val="24"/>
        </w:rPr>
        <w:t>60,26</w:t>
      </w:r>
      <w:r w:rsidR="00B90812">
        <w:rPr>
          <w:rFonts w:ascii="Times New Roman" w:hAnsi="Times New Roman" w:cs="Times New Roman"/>
          <w:bCs/>
          <w:sz w:val="24"/>
          <w:szCs w:val="24"/>
        </w:rPr>
        <w:t>%).</w:t>
      </w:r>
    </w:p>
    <w:p w:rsidR="009865FE" w:rsidRDefault="00152EBE" w:rsidP="00152EB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B5779">
        <w:rPr>
          <w:rFonts w:ascii="Times New Roman" w:hAnsi="Times New Roman" w:cs="Times New Roman"/>
          <w:bCs/>
          <w:sz w:val="24"/>
          <w:szCs w:val="24"/>
        </w:rPr>
        <w:t>Зн</w:t>
      </w:r>
      <w:r w:rsidRPr="0068736E">
        <w:rPr>
          <w:rFonts w:ascii="Times New Roman" w:hAnsi="Times New Roman" w:cs="Times New Roman"/>
          <w:bCs/>
          <w:sz w:val="24"/>
          <w:szCs w:val="24"/>
        </w:rPr>
        <w:t>ачительный рост относительно 1 квартала 20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B12356">
        <w:rPr>
          <w:rFonts w:ascii="Times New Roman" w:hAnsi="Times New Roman" w:cs="Times New Roman"/>
          <w:bCs/>
          <w:sz w:val="24"/>
          <w:szCs w:val="24"/>
        </w:rPr>
        <w:t>4</w:t>
      </w:r>
      <w:r w:rsidRPr="0068736E">
        <w:rPr>
          <w:rFonts w:ascii="Times New Roman" w:hAnsi="Times New Roman" w:cs="Times New Roman"/>
          <w:bCs/>
          <w:sz w:val="24"/>
          <w:szCs w:val="24"/>
        </w:rPr>
        <w:t xml:space="preserve"> года произошел </w:t>
      </w:r>
      <w:r w:rsidR="00200AD5" w:rsidRPr="0068736E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="00200AD5">
        <w:rPr>
          <w:rFonts w:ascii="Times New Roman" w:hAnsi="Times New Roman" w:cs="Times New Roman"/>
          <w:bCs/>
          <w:sz w:val="24"/>
          <w:szCs w:val="24"/>
        </w:rPr>
        <w:t>доходам на налоги на прибыль доходы</w:t>
      </w:r>
      <w:r w:rsidR="00200AD5" w:rsidRPr="009865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0AD5">
        <w:rPr>
          <w:rFonts w:ascii="Times New Roman" w:hAnsi="Times New Roman" w:cs="Times New Roman"/>
          <w:bCs/>
          <w:sz w:val="24"/>
          <w:szCs w:val="24"/>
        </w:rPr>
        <w:t xml:space="preserve">на (47,59%), </w:t>
      </w:r>
      <w:r w:rsidR="00AC5303">
        <w:rPr>
          <w:rFonts w:ascii="Times New Roman" w:hAnsi="Times New Roman" w:cs="Times New Roman"/>
          <w:bCs/>
          <w:sz w:val="24"/>
          <w:szCs w:val="24"/>
        </w:rPr>
        <w:t>налоги на товары (работы, услуги) реализуемые на территории Российской Федерации на (2,54%), государственная пошлина на (278,26%),</w:t>
      </w:r>
      <w:r w:rsidR="00AC5303" w:rsidRPr="00B908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5303">
        <w:rPr>
          <w:rFonts w:ascii="Times New Roman" w:hAnsi="Times New Roman" w:cs="Times New Roman"/>
          <w:bCs/>
          <w:sz w:val="24"/>
          <w:szCs w:val="24"/>
        </w:rPr>
        <w:t>доходы от оказания платных услуг и компенсации затрат государства на (80,0%),</w:t>
      </w:r>
      <w:r w:rsidR="00AC5303" w:rsidRPr="00AC53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5303">
        <w:rPr>
          <w:rFonts w:ascii="Times New Roman" w:hAnsi="Times New Roman" w:cs="Times New Roman"/>
          <w:bCs/>
          <w:sz w:val="24"/>
          <w:szCs w:val="24"/>
        </w:rPr>
        <w:t xml:space="preserve">доходы от продажи материальных и нематериальных активов на (115,0%). </w:t>
      </w:r>
      <w:proofErr w:type="gramEnd"/>
    </w:p>
    <w:p w:rsidR="00200AD5" w:rsidRDefault="00152EBE" w:rsidP="00200AD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8736E">
        <w:rPr>
          <w:rFonts w:ascii="Times New Roman" w:hAnsi="Times New Roman" w:cs="Times New Roman"/>
          <w:bCs/>
          <w:sz w:val="24"/>
          <w:szCs w:val="24"/>
        </w:rPr>
        <w:t>Снижение относительно 1 квартала 20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B12356">
        <w:rPr>
          <w:rFonts w:ascii="Times New Roman" w:hAnsi="Times New Roman" w:cs="Times New Roman"/>
          <w:bCs/>
          <w:sz w:val="24"/>
          <w:szCs w:val="24"/>
        </w:rPr>
        <w:t>4</w:t>
      </w:r>
      <w:r w:rsidRPr="0068736E">
        <w:rPr>
          <w:rFonts w:ascii="Times New Roman" w:hAnsi="Times New Roman" w:cs="Times New Roman"/>
          <w:bCs/>
          <w:sz w:val="24"/>
          <w:szCs w:val="24"/>
        </w:rPr>
        <w:t xml:space="preserve"> года произошло по </w:t>
      </w:r>
      <w:r w:rsidR="00200AD5">
        <w:rPr>
          <w:rFonts w:ascii="Times New Roman" w:hAnsi="Times New Roman" w:cs="Times New Roman"/>
          <w:bCs/>
          <w:sz w:val="24"/>
          <w:szCs w:val="24"/>
        </w:rPr>
        <w:t xml:space="preserve">налогу на совокупный доход на (87,1%), налоги на имущество на (39,85%), по </w:t>
      </w:r>
      <w:r>
        <w:rPr>
          <w:rFonts w:ascii="Times New Roman" w:hAnsi="Times New Roman" w:cs="Times New Roman"/>
          <w:bCs/>
          <w:sz w:val="24"/>
          <w:szCs w:val="24"/>
        </w:rPr>
        <w:t xml:space="preserve">доходам </w:t>
      </w:r>
      <w:r w:rsidR="0082429E">
        <w:rPr>
          <w:rFonts w:ascii="Times New Roman" w:hAnsi="Times New Roman" w:cs="Times New Roman"/>
          <w:bCs/>
          <w:sz w:val="24"/>
          <w:szCs w:val="24"/>
        </w:rPr>
        <w:t xml:space="preserve">за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платежи при пользовании природными ресурсами на </w:t>
      </w:r>
      <w:r w:rsidR="00200AD5">
        <w:rPr>
          <w:rFonts w:ascii="Times New Roman" w:hAnsi="Times New Roman" w:cs="Times New Roman"/>
          <w:bCs/>
          <w:sz w:val="24"/>
          <w:szCs w:val="24"/>
        </w:rPr>
        <w:t>(</w:t>
      </w:r>
      <w:r w:rsidR="0082429E">
        <w:rPr>
          <w:rFonts w:ascii="Times New Roman" w:hAnsi="Times New Roman" w:cs="Times New Roman"/>
          <w:bCs/>
          <w:sz w:val="24"/>
          <w:szCs w:val="24"/>
        </w:rPr>
        <w:t>8</w:t>
      </w:r>
      <w:r w:rsidR="009865FE">
        <w:rPr>
          <w:rFonts w:ascii="Times New Roman" w:hAnsi="Times New Roman" w:cs="Times New Roman"/>
          <w:bCs/>
          <w:sz w:val="24"/>
          <w:szCs w:val="24"/>
        </w:rPr>
        <w:t>3%)</w:t>
      </w:r>
      <w:r w:rsidR="00200AD5" w:rsidRPr="00200A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0AD5">
        <w:rPr>
          <w:rFonts w:ascii="Times New Roman" w:hAnsi="Times New Roman" w:cs="Times New Roman"/>
          <w:bCs/>
          <w:sz w:val="24"/>
          <w:szCs w:val="24"/>
        </w:rPr>
        <w:t>от налогов и сборов и регулярные платежи при пользовании природными ресурсами на (99,69%),</w:t>
      </w:r>
      <w:r w:rsidR="00200AD5" w:rsidRPr="00200A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0AD5">
        <w:rPr>
          <w:rFonts w:ascii="Times New Roman" w:hAnsi="Times New Roman" w:cs="Times New Roman"/>
          <w:bCs/>
          <w:sz w:val="24"/>
          <w:szCs w:val="24"/>
        </w:rPr>
        <w:t>доходы от использования имущества, находящихся в государственной и муниципальной собственности на (17,96%),</w:t>
      </w:r>
      <w:r w:rsidR="00200AD5" w:rsidRPr="00200A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0AD5">
        <w:rPr>
          <w:rFonts w:ascii="Times New Roman" w:hAnsi="Times New Roman" w:cs="Times New Roman"/>
          <w:bCs/>
          <w:sz w:val="24"/>
          <w:szCs w:val="24"/>
        </w:rPr>
        <w:t>штрафы, санкции возмещение ущерба на (60</w:t>
      </w:r>
      <w:proofErr w:type="gramEnd"/>
      <w:r w:rsidR="00200AD5">
        <w:rPr>
          <w:rFonts w:ascii="Times New Roman" w:hAnsi="Times New Roman" w:cs="Times New Roman"/>
          <w:bCs/>
          <w:sz w:val="24"/>
          <w:szCs w:val="24"/>
        </w:rPr>
        <w:t>%), и прочие неналоговые доходы на (65,36%).</w:t>
      </w:r>
    </w:p>
    <w:p w:rsidR="00E12AB2" w:rsidRDefault="00E12AB2" w:rsidP="00E12AB2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Таблица 3. Информация по безвозмездным поступлениям в 1 квартале 202</w:t>
      </w:r>
      <w:r w:rsidR="00946E68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года (</w:t>
      </w:r>
      <w:r w:rsidR="00FD1920">
        <w:rPr>
          <w:rFonts w:ascii="Times New Roman" w:hAnsi="Times New Roman" w:cs="Times New Roman"/>
          <w:bCs/>
          <w:sz w:val="24"/>
          <w:szCs w:val="24"/>
        </w:rPr>
        <w:t>млн</w:t>
      </w:r>
      <w:r>
        <w:rPr>
          <w:rFonts w:ascii="Times New Roman" w:hAnsi="Times New Roman" w:cs="Times New Roman"/>
          <w:bCs/>
          <w:sz w:val="24"/>
          <w:szCs w:val="24"/>
        </w:rPr>
        <w:t>. руб.).</w:t>
      </w:r>
    </w:p>
    <w:tbl>
      <w:tblPr>
        <w:tblW w:w="97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389"/>
        <w:gridCol w:w="1843"/>
        <w:gridCol w:w="1223"/>
        <w:gridCol w:w="1276"/>
      </w:tblGrid>
      <w:tr w:rsidR="00E12AB2" w:rsidRPr="004036A1" w:rsidTr="001044B9">
        <w:trPr>
          <w:trHeight w:val="20"/>
        </w:trPr>
        <w:tc>
          <w:tcPr>
            <w:tcW w:w="538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2AB2" w:rsidRPr="004036A1" w:rsidRDefault="00E12AB2" w:rsidP="001044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6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2AB2" w:rsidRPr="004036A1" w:rsidRDefault="00E12AB2" w:rsidP="00946E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6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Утвержденные бюджетные назначения на </w:t>
            </w:r>
            <w:r w:rsidR="00567C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946E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567C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036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год, </w:t>
            </w:r>
            <w:r w:rsidR="001E1B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млн</w:t>
            </w:r>
            <w:r w:rsidRPr="004036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руб.</w:t>
            </w:r>
          </w:p>
        </w:tc>
        <w:tc>
          <w:tcPr>
            <w:tcW w:w="2499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12AB2" w:rsidRPr="004036A1" w:rsidRDefault="00E12AB2" w:rsidP="00F369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6A1">
              <w:rPr>
                <w:rFonts w:ascii="Times New Roman" w:hAnsi="Times New Roman" w:cs="Times New Roman"/>
                <w:b/>
                <w:sz w:val="20"/>
                <w:szCs w:val="20"/>
              </w:rPr>
              <w:t>Исполнение за 1 квартал</w:t>
            </w:r>
            <w:r w:rsidR="009111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</w:t>
            </w:r>
            <w:r w:rsidR="00F3699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9111B6">
              <w:rPr>
                <w:rFonts w:ascii="Times New Roman" w:hAnsi="Times New Roman" w:cs="Times New Roman"/>
                <w:b/>
                <w:sz w:val="20"/>
                <w:szCs w:val="20"/>
              </w:rPr>
              <w:t>год.</w:t>
            </w:r>
          </w:p>
        </w:tc>
      </w:tr>
      <w:tr w:rsidR="00E12AB2" w:rsidRPr="004036A1" w:rsidTr="001044B9">
        <w:trPr>
          <w:trHeight w:val="20"/>
        </w:trPr>
        <w:tc>
          <w:tcPr>
            <w:tcW w:w="538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12AB2" w:rsidRPr="004036A1" w:rsidRDefault="00E12AB2" w:rsidP="001044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12AB2" w:rsidRPr="004036A1" w:rsidRDefault="00E12AB2" w:rsidP="001044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12AB2" w:rsidRPr="004036A1" w:rsidRDefault="00FD1920" w:rsidP="001727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млн</w:t>
            </w:r>
            <w:r w:rsidR="00E12AB2" w:rsidRPr="004036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руб.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12AB2" w:rsidRPr="004036A1" w:rsidRDefault="00E12AB2" w:rsidP="001044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6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E12AB2" w:rsidRPr="004036A1" w:rsidTr="001044B9">
        <w:trPr>
          <w:trHeight w:val="20"/>
        </w:trPr>
        <w:tc>
          <w:tcPr>
            <w:tcW w:w="53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2AB2" w:rsidRPr="004036A1" w:rsidRDefault="00E12AB2" w:rsidP="001044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036A1">
              <w:rPr>
                <w:rFonts w:ascii="Times New Roman" w:hAnsi="Times New Roman" w:cs="Times New Roman"/>
                <w:sz w:val="20"/>
                <w:szCs w:val="20"/>
              </w:rPr>
              <w:t>Дотации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AB2" w:rsidRPr="004036A1" w:rsidRDefault="00907FE5" w:rsidP="00232A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232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32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2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AB2" w:rsidRPr="004036A1" w:rsidRDefault="00365CD1" w:rsidP="002E38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13,9</w:t>
            </w:r>
            <w:r w:rsidR="002E38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AB2" w:rsidRPr="004036A1" w:rsidRDefault="00907FE5" w:rsidP="00365C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E12AB2" w:rsidRPr="004036A1" w:rsidTr="001044B9">
        <w:trPr>
          <w:trHeight w:val="20"/>
        </w:trPr>
        <w:tc>
          <w:tcPr>
            <w:tcW w:w="53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2AB2" w:rsidRPr="004036A1" w:rsidRDefault="00E12AB2" w:rsidP="001044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036A1"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AB2" w:rsidRPr="004036A1" w:rsidRDefault="00A53130" w:rsidP="00365C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181,89</w:t>
            </w:r>
          </w:p>
        </w:tc>
        <w:tc>
          <w:tcPr>
            <w:tcW w:w="12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AB2" w:rsidRPr="004036A1" w:rsidRDefault="00A53130" w:rsidP="002E38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AB2" w:rsidRPr="004036A1" w:rsidRDefault="00B2151A" w:rsidP="00A53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A53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E12AB2" w:rsidRPr="004036A1" w:rsidTr="001044B9">
        <w:trPr>
          <w:trHeight w:val="20"/>
        </w:trPr>
        <w:tc>
          <w:tcPr>
            <w:tcW w:w="53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2AB2" w:rsidRPr="004036A1" w:rsidRDefault="00E12AB2" w:rsidP="001044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036A1">
              <w:rPr>
                <w:rFonts w:ascii="Times New Roman" w:hAnsi="Times New Roman" w:cs="Times New Roman"/>
                <w:sz w:val="20"/>
                <w:szCs w:val="20"/>
              </w:rPr>
              <w:t>Субвенции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AB2" w:rsidRPr="004036A1" w:rsidRDefault="00A53130" w:rsidP="00365C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226,62</w:t>
            </w:r>
          </w:p>
        </w:tc>
        <w:tc>
          <w:tcPr>
            <w:tcW w:w="12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AB2" w:rsidRPr="004036A1" w:rsidRDefault="00365CD1" w:rsidP="00A53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A53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A53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AB2" w:rsidRPr="004036A1" w:rsidRDefault="00365CD1" w:rsidP="00365C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</w:tr>
      <w:tr w:rsidR="00E12AB2" w:rsidRPr="004036A1" w:rsidTr="001044B9">
        <w:trPr>
          <w:trHeight w:val="20"/>
        </w:trPr>
        <w:tc>
          <w:tcPr>
            <w:tcW w:w="53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2AB2" w:rsidRPr="004036A1" w:rsidRDefault="00E12AB2" w:rsidP="001044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036A1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AB2" w:rsidRPr="004036A1" w:rsidRDefault="00365CD1" w:rsidP="00A53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A53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A53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AB2" w:rsidRPr="004036A1" w:rsidRDefault="00A53130" w:rsidP="00317F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</w:t>
            </w:r>
            <w:r w:rsidR="00317F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AB2" w:rsidRPr="004036A1" w:rsidRDefault="00232A69" w:rsidP="00A53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A53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2151A" w:rsidRPr="004036A1" w:rsidTr="001044B9">
        <w:trPr>
          <w:trHeight w:val="20"/>
        </w:trPr>
        <w:tc>
          <w:tcPr>
            <w:tcW w:w="53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2151A" w:rsidRPr="004036A1" w:rsidRDefault="00A53130" w:rsidP="00A53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Доходы бюджетов бюджетной системы РФ от возврата бюджетами бюджетной системы РФ остатков субсидий, субвенции и ин</w:t>
            </w:r>
            <w:r w:rsidR="00317F5E">
              <w:rPr>
                <w:rFonts w:ascii="Times New Roman" w:hAnsi="Times New Roman" w:cs="Times New Roman"/>
                <w:sz w:val="20"/>
                <w:szCs w:val="20"/>
              </w:rPr>
              <w:t>ых межбюджетных трансфертов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17F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имеющих целевое назначение, прошлых лет.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51A" w:rsidRDefault="00A53130" w:rsidP="00B215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51A" w:rsidRDefault="00317F5E" w:rsidP="00317F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51A" w:rsidRDefault="00365CD1" w:rsidP="00B215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12AB2" w:rsidRPr="004036A1" w:rsidTr="001044B9">
        <w:trPr>
          <w:trHeight w:val="20"/>
        </w:trPr>
        <w:tc>
          <w:tcPr>
            <w:tcW w:w="53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2AB2" w:rsidRPr="004036A1" w:rsidRDefault="00E12AB2" w:rsidP="001044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036A1">
              <w:rPr>
                <w:rFonts w:ascii="Times New Roman" w:hAnsi="Times New Roman" w:cs="Times New Roman"/>
                <w:sz w:val="20"/>
                <w:szCs w:val="20"/>
              </w:rPr>
              <w:t>Возврат остатков субсидий, субвенций и иных межбюджетных трансфертов, имеющих целевое значение, прошлых лет бюджетами городских округов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AB2" w:rsidRPr="004036A1" w:rsidRDefault="00E12AB2" w:rsidP="001044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36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AB2" w:rsidRPr="004036A1" w:rsidRDefault="00E12AB2" w:rsidP="00317F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36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A53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</w:t>
            </w:r>
            <w:r w:rsidR="00317F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AB2" w:rsidRPr="004036A1" w:rsidRDefault="00317F5E" w:rsidP="001044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12AB2" w:rsidRPr="004036A1" w:rsidTr="001044B9">
        <w:trPr>
          <w:trHeight w:val="20"/>
        </w:trPr>
        <w:tc>
          <w:tcPr>
            <w:tcW w:w="53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2AB2" w:rsidRPr="004036A1" w:rsidRDefault="00E12AB2" w:rsidP="001044B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6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AB2" w:rsidRPr="004036A1" w:rsidRDefault="00365CD1" w:rsidP="00A53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49</w:t>
            </w:r>
            <w:r w:rsidR="00A531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="00A531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AB2" w:rsidRPr="004036A1" w:rsidRDefault="00A53130" w:rsidP="001044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83,92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AB2" w:rsidRPr="004036A1" w:rsidRDefault="00365CD1" w:rsidP="00A53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A531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</w:tr>
    </w:tbl>
    <w:p w:rsidR="00E12AB2" w:rsidRPr="00254779" w:rsidRDefault="00E12AB2" w:rsidP="00E12AB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FE5">
        <w:rPr>
          <w:rFonts w:ascii="Times New Roman" w:hAnsi="Times New Roman" w:cs="Times New Roman"/>
          <w:sz w:val="24"/>
          <w:szCs w:val="24"/>
        </w:rPr>
        <w:t>В целом</w:t>
      </w:r>
      <w:r w:rsidRPr="00254779">
        <w:rPr>
          <w:rFonts w:ascii="Times New Roman" w:hAnsi="Times New Roman" w:cs="Times New Roman"/>
          <w:sz w:val="24"/>
          <w:szCs w:val="24"/>
        </w:rPr>
        <w:t xml:space="preserve"> безвозмездные поступления (с учетом возвратов остатков субсидий и иных межбюджетных трансфертов) за 1 квартал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946E68">
        <w:rPr>
          <w:rFonts w:ascii="Times New Roman" w:hAnsi="Times New Roman" w:cs="Times New Roman"/>
          <w:sz w:val="24"/>
          <w:szCs w:val="24"/>
        </w:rPr>
        <w:t>6</w:t>
      </w:r>
      <w:r w:rsidRPr="00254779">
        <w:rPr>
          <w:rFonts w:ascii="Times New Roman" w:hAnsi="Times New Roman" w:cs="Times New Roman"/>
          <w:sz w:val="24"/>
          <w:szCs w:val="24"/>
        </w:rPr>
        <w:t xml:space="preserve"> года </w:t>
      </w:r>
      <w:r w:rsidR="00232A69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2E3803">
        <w:rPr>
          <w:rFonts w:ascii="Times New Roman" w:hAnsi="Times New Roman" w:cs="Times New Roman"/>
          <w:sz w:val="24"/>
          <w:szCs w:val="24"/>
        </w:rPr>
        <w:t>1</w:t>
      </w:r>
      <w:r w:rsidR="00317F5E">
        <w:rPr>
          <w:rFonts w:ascii="Times New Roman" w:hAnsi="Times New Roman" w:cs="Times New Roman"/>
          <w:sz w:val="24"/>
          <w:szCs w:val="24"/>
        </w:rPr>
        <w:t>7</w:t>
      </w:r>
      <w:r w:rsidR="00232A69">
        <w:rPr>
          <w:rFonts w:ascii="Times New Roman" w:hAnsi="Times New Roman" w:cs="Times New Roman"/>
          <w:sz w:val="24"/>
          <w:szCs w:val="24"/>
        </w:rPr>
        <w:t>,0</w:t>
      </w:r>
      <w:r w:rsidR="00BE3DE7">
        <w:rPr>
          <w:rFonts w:ascii="Times New Roman" w:hAnsi="Times New Roman" w:cs="Times New Roman"/>
          <w:sz w:val="24"/>
          <w:szCs w:val="24"/>
        </w:rPr>
        <w:t>%</w:t>
      </w:r>
      <w:r w:rsidRPr="00254779">
        <w:rPr>
          <w:rFonts w:ascii="Times New Roman" w:hAnsi="Times New Roman" w:cs="Times New Roman"/>
          <w:sz w:val="24"/>
          <w:szCs w:val="24"/>
        </w:rPr>
        <w:t xml:space="preserve"> от утвержденных годовых назначений.</w:t>
      </w:r>
    </w:p>
    <w:p w:rsidR="00E12AB2" w:rsidRDefault="00E12AB2" w:rsidP="00232A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54779">
        <w:rPr>
          <w:rFonts w:ascii="Times New Roman" w:hAnsi="Times New Roman" w:cs="Times New Roman"/>
          <w:sz w:val="24"/>
          <w:szCs w:val="24"/>
        </w:rPr>
        <w:t>Наименьшее выполнение отме</w:t>
      </w:r>
      <w:r>
        <w:rPr>
          <w:rFonts w:ascii="Times New Roman" w:hAnsi="Times New Roman" w:cs="Times New Roman"/>
          <w:sz w:val="24"/>
          <w:szCs w:val="24"/>
        </w:rPr>
        <w:t xml:space="preserve">чено по поступлению субсидий – </w:t>
      </w:r>
      <w:r w:rsidR="00E73501">
        <w:rPr>
          <w:rFonts w:ascii="Times New Roman" w:hAnsi="Times New Roman" w:cs="Times New Roman"/>
          <w:sz w:val="24"/>
          <w:szCs w:val="24"/>
        </w:rPr>
        <w:t>1</w:t>
      </w:r>
      <w:r w:rsidR="00317F5E">
        <w:rPr>
          <w:rFonts w:ascii="Times New Roman" w:hAnsi="Times New Roman" w:cs="Times New Roman"/>
          <w:sz w:val="24"/>
          <w:szCs w:val="24"/>
        </w:rPr>
        <w:t>3</w:t>
      </w:r>
      <w:r w:rsidRPr="00254779">
        <w:rPr>
          <w:rFonts w:ascii="Times New Roman" w:hAnsi="Times New Roman" w:cs="Times New Roman"/>
          <w:sz w:val="24"/>
          <w:szCs w:val="24"/>
        </w:rPr>
        <w:t xml:space="preserve">% от годовых </w:t>
      </w:r>
      <w:r w:rsidR="005D0AF6">
        <w:rPr>
          <w:rFonts w:ascii="Times New Roman" w:hAnsi="Times New Roman" w:cs="Times New Roman"/>
          <w:sz w:val="24"/>
          <w:szCs w:val="24"/>
        </w:rPr>
        <w:t>н</w:t>
      </w:r>
      <w:r w:rsidRPr="00254779">
        <w:rPr>
          <w:rFonts w:ascii="Times New Roman" w:hAnsi="Times New Roman" w:cs="Times New Roman"/>
          <w:sz w:val="24"/>
          <w:szCs w:val="24"/>
        </w:rPr>
        <w:t>азначений.</w:t>
      </w:r>
    </w:p>
    <w:p w:rsidR="00232A69" w:rsidRDefault="00232A69" w:rsidP="00232A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D1B">
        <w:rPr>
          <w:rFonts w:ascii="Times New Roman" w:hAnsi="Times New Roman" w:cs="Times New Roman"/>
          <w:bCs/>
          <w:sz w:val="24"/>
          <w:szCs w:val="24"/>
        </w:rPr>
        <w:t>Рисунок</w:t>
      </w:r>
      <w:r w:rsidR="008055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4D1B">
        <w:rPr>
          <w:rFonts w:ascii="Times New Roman" w:hAnsi="Times New Roman" w:cs="Times New Roman"/>
          <w:bCs/>
          <w:sz w:val="24"/>
          <w:szCs w:val="24"/>
        </w:rPr>
        <w:t>3.</w:t>
      </w:r>
      <w:r w:rsidRPr="00D00F07">
        <w:rPr>
          <w:rFonts w:ascii="Times New Roman" w:hAnsi="Times New Roman" w:cs="Times New Roman"/>
          <w:bCs/>
          <w:sz w:val="24"/>
          <w:szCs w:val="24"/>
        </w:rPr>
        <w:t xml:space="preserve"> Анализ безвозмездных перечислений, в сравнении с аналогичными показателями 1 квартала 20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946E68">
        <w:rPr>
          <w:rFonts w:ascii="Times New Roman" w:hAnsi="Times New Roman" w:cs="Times New Roman"/>
          <w:bCs/>
          <w:sz w:val="24"/>
          <w:szCs w:val="24"/>
        </w:rPr>
        <w:t>3</w:t>
      </w:r>
      <w:r w:rsidRPr="00D00F07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E735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00F07">
        <w:rPr>
          <w:rFonts w:ascii="Times New Roman" w:hAnsi="Times New Roman" w:cs="Times New Roman"/>
          <w:bCs/>
          <w:sz w:val="24"/>
          <w:szCs w:val="24"/>
        </w:rPr>
        <w:t>20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946E68">
        <w:rPr>
          <w:rFonts w:ascii="Times New Roman" w:hAnsi="Times New Roman" w:cs="Times New Roman"/>
          <w:bCs/>
          <w:sz w:val="24"/>
          <w:szCs w:val="24"/>
        </w:rPr>
        <w:t>6</w:t>
      </w:r>
      <w:r w:rsidRPr="00D00F07">
        <w:rPr>
          <w:rFonts w:ascii="Times New Roman" w:hAnsi="Times New Roman" w:cs="Times New Roman"/>
          <w:bCs/>
          <w:sz w:val="24"/>
          <w:szCs w:val="24"/>
        </w:rPr>
        <w:t xml:space="preserve"> годов (</w:t>
      </w:r>
      <w:r>
        <w:rPr>
          <w:rFonts w:ascii="Times New Roman" w:hAnsi="Times New Roman" w:cs="Times New Roman"/>
          <w:bCs/>
          <w:sz w:val="24"/>
          <w:szCs w:val="24"/>
        </w:rPr>
        <w:t>млн</w:t>
      </w:r>
      <w:r w:rsidRPr="00D00F07">
        <w:rPr>
          <w:rFonts w:ascii="Times New Roman" w:hAnsi="Times New Roman" w:cs="Times New Roman"/>
          <w:bCs/>
          <w:sz w:val="24"/>
          <w:szCs w:val="24"/>
        </w:rPr>
        <w:t>. руб.)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12AB2" w:rsidRDefault="00E12AB2" w:rsidP="00E12AB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6A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1FF2C13A" wp14:editId="3EEB98ED">
            <wp:extent cx="6143625" cy="3257550"/>
            <wp:effectExtent l="0" t="0" r="0" b="0"/>
            <wp:docPr id="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12AB2" w:rsidRPr="00D00F07" w:rsidRDefault="00E12AB2" w:rsidP="00E12AB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19C">
        <w:rPr>
          <w:rFonts w:ascii="Times New Roman" w:hAnsi="Times New Roman" w:cs="Times New Roman"/>
          <w:bCs/>
          <w:sz w:val="24"/>
          <w:szCs w:val="24"/>
        </w:rPr>
        <w:t>За</w:t>
      </w:r>
      <w:r w:rsidRPr="00D00F0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четыре </w:t>
      </w:r>
      <w:r w:rsidRPr="00D00F07">
        <w:rPr>
          <w:rFonts w:ascii="Times New Roman" w:hAnsi="Times New Roman" w:cs="Times New Roman"/>
          <w:bCs/>
          <w:sz w:val="24"/>
          <w:szCs w:val="24"/>
        </w:rPr>
        <w:t>года (20</w:t>
      </w:r>
      <w:r w:rsidR="00232A69">
        <w:rPr>
          <w:rFonts w:ascii="Times New Roman" w:hAnsi="Times New Roman" w:cs="Times New Roman"/>
          <w:bCs/>
          <w:sz w:val="24"/>
          <w:szCs w:val="24"/>
        </w:rPr>
        <w:t>2</w:t>
      </w:r>
      <w:r w:rsidR="006E74BF">
        <w:rPr>
          <w:rFonts w:ascii="Times New Roman" w:hAnsi="Times New Roman" w:cs="Times New Roman"/>
          <w:bCs/>
          <w:sz w:val="24"/>
          <w:szCs w:val="24"/>
        </w:rPr>
        <w:t>3</w:t>
      </w:r>
      <w:r w:rsidRPr="00D00F07">
        <w:rPr>
          <w:rFonts w:ascii="Times New Roman" w:hAnsi="Times New Roman" w:cs="Times New Roman"/>
          <w:bCs/>
          <w:sz w:val="24"/>
          <w:szCs w:val="24"/>
        </w:rPr>
        <w:t>-20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C44D80">
        <w:rPr>
          <w:rFonts w:ascii="Times New Roman" w:hAnsi="Times New Roman" w:cs="Times New Roman"/>
          <w:bCs/>
          <w:sz w:val="24"/>
          <w:szCs w:val="24"/>
        </w:rPr>
        <w:t>6</w:t>
      </w:r>
      <w:r w:rsidRPr="00D00F07">
        <w:rPr>
          <w:rFonts w:ascii="Times New Roman" w:hAnsi="Times New Roman" w:cs="Times New Roman"/>
          <w:bCs/>
          <w:sz w:val="24"/>
          <w:szCs w:val="24"/>
        </w:rPr>
        <w:t xml:space="preserve"> гг.) </w:t>
      </w:r>
      <w:r>
        <w:rPr>
          <w:rFonts w:ascii="Times New Roman" w:hAnsi="Times New Roman" w:cs="Times New Roman"/>
          <w:bCs/>
          <w:sz w:val="24"/>
          <w:szCs w:val="24"/>
        </w:rPr>
        <w:t xml:space="preserve">была </w:t>
      </w:r>
      <w:r w:rsidRPr="00D00F07">
        <w:rPr>
          <w:rFonts w:ascii="Times New Roman" w:hAnsi="Times New Roman" w:cs="Times New Roman"/>
          <w:bCs/>
          <w:sz w:val="24"/>
          <w:szCs w:val="24"/>
        </w:rPr>
        <w:t xml:space="preserve">отмечена тенденция к </w:t>
      </w:r>
      <w:r w:rsidR="008154D8">
        <w:rPr>
          <w:rFonts w:ascii="Times New Roman" w:hAnsi="Times New Roman" w:cs="Times New Roman"/>
          <w:bCs/>
          <w:sz w:val="24"/>
          <w:szCs w:val="24"/>
        </w:rPr>
        <w:t>увеличению</w:t>
      </w:r>
      <w:r w:rsidR="006E74BF">
        <w:rPr>
          <w:rFonts w:ascii="Times New Roman" w:hAnsi="Times New Roman" w:cs="Times New Roman"/>
          <w:bCs/>
          <w:sz w:val="24"/>
          <w:szCs w:val="24"/>
        </w:rPr>
        <w:t xml:space="preserve"> то к снижению</w:t>
      </w:r>
      <w:r w:rsidR="008154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00F07">
        <w:rPr>
          <w:rFonts w:ascii="Times New Roman" w:hAnsi="Times New Roman" w:cs="Times New Roman"/>
          <w:bCs/>
          <w:sz w:val="24"/>
          <w:szCs w:val="24"/>
        </w:rPr>
        <w:t>общего объема безвозмездных поступлений в 1 квартале. В 1 квартале 20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6E74BF">
        <w:rPr>
          <w:rFonts w:ascii="Times New Roman" w:hAnsi="Times New Roman" w:cs="Times New Roman"/>
          <w:bCs/>
          <w:sz w:val="24"/>
          <w:szCs w:val="24"/>
        </w:rPr>
        <w:t>6</w:t>
      </w:r>
      <w:r w:rsidRPr="00D00F07">
        <w:rPr>
          <w:rFonts w:ascii="Times New Roman" w:hAnsi="Times New Roman" w:cs="Times New Roman"/>
          <w:bCs/>
          <w:sz w:val="24"/>
          <w:szCs w:val="24"/>
        </w:rPr>
        <w:t xml:space="preserve"> года общий объем безвозмездных поступлений на </w:t>
      </w:r>
      <w:r w:rsidR="00C026A2">
        <w:rPr>
          <w:rFonts w:ascii="Times New Roman" w:hAnsi="Times New Roman" w:cs="Times New Roman"/>
          <w:bCs/>
          <w:sz w:val="24"/>
          <w:szCs w:val="24"/>
        </w:rPr>
        <w:t>10,</w:t>
      </w:r>
      <w:r w:rsidR="00C44D80">
        <w:rPr>
          <w:rFonts w:ascii="Times New Roman" w:hAnsi="Times New Roman" w:cs="Times New Roman"/>
          <w:bCs/>
          <w:sz w:val="24"/>
          <w:szCs w:val="24"/>
        </w:rPr>
        <w:t>7</w:t>
      </w:r>
      <w:r w:rsidRPr="00D00F07">
        <w:rPr>
          <w:rFonts w:ascii="Times New Roman" w:hAnsi="Times New Roman" w:cs="Times New Roman"/>
          <w:bCs/>
          <w:sz w:val="24"/>
          <w:szCs w:val="24"/>
        </w:rPr>
        <w:t xml:space="preserve">% </w:t>
      </w:r>
      <w:r w:rsidR="00C44D80">
        <w:rPr>
          <w:rFonts w:ascii="Times New Roman" w:hAnsi="Times New Roman" w:cs="Times New Roman"/>
          <w:bCs/>
          <w:sz w:val="24"/>
          <w:szCs w:val="24"/>
        </w:rPr>
        <w:t>выше</w:t>
      </w:r>
      <w:r w:rsidRPr="00D00F07">
        <w:rPr>
          <w:rFonts w:ascii="Times New Roman" w:hAnsi="Times New Roman" w:cs="Times New Roman"/>
          <w:bCs/>
          <w:sz w:val="24"/>
          <w:szCs w:val="24"/>
        </w:rPr>
        <w:t xml:space="preserve"> аналог</w:t>
      </w:r>
      <w:r>
        <w:rPr>
          <w:rFonts w:ascii="Times New Roman" w:hAnsi="Times New Roman" w:cs="Times New Roman"/>
          <w:bCs/>
          <w:sz w:val="24"/>
          <w:szCs w:val="24"/>
        </w:rPr>
        <w:t>ичных значений предыдущего года</w:t>
      </w:r>
      <w:r w:rsidRPr="00D00F07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В 1 квартале 202</w:t>
      </w:r>
      <w:r w:rsidR="00C44D80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года темпы роста составили </w:t>
      </w:r>
      <w:r w:rsidR="00C44D80">
        <w:rPr>
          <w:rFonts w:ascii="Times New Roman" w:hAnsi="Times New Roman" w:cs="Times New Roman"/>
          <w:bCs/>
          <w:sz w:val="24"/>
          <w:szCs w:val="24"/>
        </w:rPr>
        <w:t>10,3</w:t>
      </w:r>
      <w:r>
        <w:rPr>
          <w:rFonts w:ascii="Times New Roman" w:hAnsi="Times New Roman" w:cs="Times New Roman"/>
          <w:bCs/>
          <w:sz w:val="24"/>
          <w:szCs w:val="24"/>
        </w:rPr>
        <w:t>%.</w:t>
      </w:r>
    </w:p>
    <w:p w:rsidR="00E12AB2" w:rsidRDefault="00E12AB2" w:rsidP="00E12AB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0F07">
        <w:rPr>
          <w:rFonts w:ascii="Times New Roman" w:hAnsi="Times New Roman" w:cs="Times New Roman"/>
          <w:bCs/>
          <w:sz w:val="24"/>
          <w:szCs w:val="24"/>
        </w:rPr>
        <w:t>Поступление дотаци</w:t>
      </w:r>
      <w:r>
        <w:rPr>
          <w:rFonts w:ascii="Times New Roman" w:hAnsi="Times New Roman" w:cs="Times New Roman"/>
          <w:bCs/>
          <w:sz w:val="24"/>
          <w:szCs w:val="24"/>
        </w:rPr>
        <w:t xml:space="preserve">й в первом квартале </w:t>
      </w:r>
      <w:r w:rsidR="00C026A2">
        <w:rPr>
          <w:rFonts w:ascii="Times New Roman" w:hAnsi="Times New Roman" w:cs="Times New Roman"/>
          <w:bCs/>
          <w:sz w:val="24"/>
          <w:szCs w:val="24"/>
        </w:rPr>
        <w:t xml:space="preserve">за последние три года осталось не </w:t>
      </w:r>
      <w:r w:rsidR="0078219A">
        <w:rPr>
          <w:rFonts w:ascii="Times New Roman" w:hAnsi="Times New Roman" w:cs="Times New Roman"/>
          <w:bCs/>
          <w:sz w:val="24"/>
          <w:szCs w:val="24"/>
        </w:rPr>
        <w:t>измененным</w:t>
      </w:r>
      <w:r w:rsidRPr="00D00F07">
        <w:rPr>
          <w:rFonts w:ascii="Times New Roman" w:hAnsi="Times New Roman" w:cs="Times New Roman"/>
          <w:bCs/>
          <w:sz w:val="24"/>
          <w:szCs w:val="24"/>
        </w:rPr>
        <w:t>, в 1 квартале 20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6E74BF">
        <w:rPr>
          <w:rFonts w:ascii="Times New Roman" w:hAnsi="Times New Roman" w:cs="Times New Roman"/>
          <w:bCs/>
          <w:sz w:val="24"/>
          <w:szCs w:val="24"/>
        </w:rPr>
        <w:t>6</w:t>
      </w:r>
      <w:r w:rsidRPr="00D00F07">
        <w:rPr>
          <w:rFonts w:ascii="Times New Roman" w:hAnsi="Times New Roman" w:cs="Times New Roman"/>
          <w:bCs/>
          <w:sz w:val="24"/>
          <w:szCs w:val="24"/>
        </w:rPr>
        <w:t xml:space="preserve"> года </w:t>
      </w:r>
      <w:r w:rsidR="00C026A2">
        <w:rPr>
          <w:rFonts w:ascii="Times New Roman" w:hAnsi="Times New Roman" w:cs="Times New Roman"/>
          <w:bCs/>
          <w:sz w:val="24"/>
          <w:szCs w:val="24"/>
        </w:rPr>
        <w:t xml:space="preserve">остается не </w:t>
      </w:r>
      <w:r w:rsidR="0078219A">
        <w:rPr>
          <w:rFonts w:ascii="Times New Roman" w:hAnsi="Times New Roman" w:cs="Times New Roman"/>
          <w:bCs/>
          <w:sz w:val="24"/>
          <w:szCs w:val="24"/>
        </w:rPr>
        <w:t>измененным</w:t>
      </w:r>
      <w:r w:rsidRPr="00D00F0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к аналогичному периоду 202</w:t>
      </w:r>
      <w:r w:rsidR="006E74BF">
        <w:rPr>
          <w:rFonts w:ascii="Times New Roman" w:hAnsi="Times New Roman" w:cs="Times New Roman"/>
          <w:bCs/>
          <w:sz w:val="24"/>
          <w:szCs w:val="24"/>
        </w:rPr>
        <w:t>5</w:t>
      </w:r>
      <w:r w:rsidR="00C026A2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D00F0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12AB2" w:rsidRDefault="00E12AB2" w:rsidP="00E12AB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Объем поступления субсидий </w:t>
      </w:r>
      <w:r w:rsidR="00AB619C">
        <w:rPr>
          <w:rFonts w:ascii="Times New Roman" w:hAnsi="Times New Roman" w:cs="Times New Roman"/>
          <w:bCs/>
          <w:sz w:val="24"/>
          <w:szCs w:val="24"/>
        </w:rPr>
        <w:t>у</w:t>
      </w:r>
      <w:r w:rsidR="00C44D80">
        <w:rPr>
          <w:rFonts w:ascii="Times New Roman" w:hAnsi="Times New Roman" w:cs="Times New Roman"/>
          <w:bCs/>
          <w:sz w:val="24"/>
          <w:szCs w:val="24"/>
        </w:rPr>
        <w:t>меньшился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относительно аналогичного периода прошлого года на </w:t>
      </w:r>
      <w:r w:rsidR="00C44D80">
        <w:rPr>
          <w:rFonts w:ascii="Times New Roman" w:hAnsi="Times New Roman" w:cs="Times New Roman"/>
          <w:bCs/>
          <w:sz w:val="24"/>
          <w:szCs w:val="24"/>
        </w:rPr>
        <w:t>0,4</w:t>
      </w:r>
      <w:r>
        <w:rPr>
          <w:rFonts w:ascii="Times New Roman" w:hAnsi="Times New Roman" w:cs="Times New Roman"/>
          <w:bCs/>
          <w:sz w:val="24"/>
          <w:szCs w:val="24"/>
        </w:rPr>
        <w:t xml:space="preserve">%. </w:t>
      </w:r>
    </w:p>
    <w:p w:rsidR="00E12AB2" w:rsidRDefault="00E12AB2" w:rsidP="00E12AB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Поступление субвенций в 1 квартале 202</w:t>
      </w:r>
      <w:r w:rsidR="00C44D80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года </w:t>
      </w:r>
      <w:r w:rsidR="00AB619C">
        <w:rPr>
          <w:rFonts w:ascii="Times New Roman" w:hAnsi="Times New Roman" w:cs="Times New Roman"/>
          <w:bCs/>
          <w:sz w:val="24"/>
          <w:szCs w:val="24"/>
        </w:rPr>
        <w:t>у</w:t>
      </w:r>
      <w:r w:rsidR="00C44D80">
        <w:rPr>
          <w:rFonts w:ascii="Times New Roman" w:hAnsi="Times New Roman" w:cs="Times New Roman"/>
          <w:bCs/>
          <w:sz w:val="24"/>
          <w:szCs w:val="24"/>
        </w:rPr>
        <w:t>величилось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относительно аналогичного периода 202</w:t>
      </w:r>
      <w:r w:rsidR="00C44D80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года на </w:t>
      </w:r>
      <w:r w:rsidR="00C44D80">
        <w:rPr>
          <w:rFonts w:ascii="Times New Roman" w:hAnsi="Times New Roman" w:cs="Times New Roman"/>
          <w:bCs/>
          <w:sz w:val="24"/>
          <w:szCs w:val="24"/>
        </w:rPr>
        <w:t>10,9</w:t>
      </w:r>
      <w:r>
        <w:rPr>
          <w:rFonts w:ascii="Times New Roman" w:hAnsi="Times New Roman" w:cs="Times New Roman"/>
          <w:bCs/>
          <w:sz w:val="24"/>
          <w:szCs w:val="24"/>
        </w:rPr>
        <w:t>%.</w:t>
      </w:r>
    </w:p>
    <w:p w:rsidR="00E12AB2" w:rsidRDefault="00E12AB2" w:rsidP="00E12AB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Отмечен</w:t>
      </w:r>
      <w:r w:rsidR="00842919"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4D80">
        <w:rPr>
          <w:rFonts w:ascii="Times New Roman" w:hAnsi="Times New Roman" w:cs="Times New Roman"/>
          <w:bCs/>
          <w:sz w:val="24"/>
          <w:szCs w:val="24"/>
        </w:rPr>
        <w:t>снижение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поступления иных межбюджетных трансфертов (</w:t>
      </w:r>
      <w:r w:rsidR="00842919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C44D80">
        <w:rPr>
          <w:rFonts w:ascii="Times New Roman" w:hAnsi="Times New Roman" w:cs="Times New Roman"/>
          <w:bCs/>
          <w:sz w:val="24"/>
          <w:szCs w:val="24"/>
        </w:rPr>
        <w:t>0,5</w:t>
      </w:r>
      <w:r w:rsidR="00842919">
        <w:rPr>
          <w:rFonts w:ascii="Times New Roman" w:hAnsi="Times New Roman" w:cs="Times New Roman"/>
          <w:bCs/>
          <w:sz w:val="24"/>
          <w:szCs w:val="24"/>
        </w:rPr>
        <w:t>%</w:t>
      </w:r>
      <w:r>
        <w:rPr>
          <w:rFonts w:ascii="Times New Roman" w:hAnsi="Times New Roman" w:cs="Times New Roman"/>
          <w:bCs/>
          <w:sz w:val="24"/>
          <w:szCs w:val="24"/>
        </w:rPr>
        <w:t xml:space="preserve"> аналогичного периода прошлого года).</w:t>
      </w:r>
    </w:p>
    <w:p w:rsidR="00E12AB2" w:rsidRDefault="00E12AB2" w:rsidP="00E12AB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2AB2" w:rsidRDefault="00E12AB2" w:rsidP="00E12AB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D80">
        <w:rPr>
          <w:rFonts w:ascii="Times New Roman" w:hAnsi="Times New Roman" w:cs="Times New Roman"/>
          <w:b/>
          <w:sz w:val="24"/>
          <w:szCs w:val="24"/>
          <w:highlight w:val="yellow"/>
        </w:rPr>
        <w:t>А</w:t>
      </w:r>
      <w:r w:rsidRPr="00CE64DE">
        <w:rPr>
          <w:rFonts w:ascii="Times New Roman" w:hAnsi="Times New Roman" w:cs="Times New Roman"/>
          <w:b/>
          <w:sz w:val="24"/>
          <w:szCs w:val="24"/>
        </w:rPr>
        <w:t>нализ</w:t>
      </w:r>
      <w:r w:rsidRPr="00D00F07">
        <w:rPr>
          <w:rFonts w:ascii="Times New Roman" w:hAnsi="Times New Roman" w:cs="Times New Roman"/>
          <w:b/>
          <w:sz w:val="24"/>
          <w:szCs w:val="24"/>
        </w:rPr>
        <w:t xml:space="preserve"> отчета в части исполнения расходов бюджета </w:t>
      </w:r>
      <w:r w:rsidR="00732827">
        <w:rPr>
          <w:rFonts w:ascii="Times New Roman" w:hAnsi="Times New Roman" w:cs="Times New Roman"/>
          <w:b/>
          <w:sz w:val="24"/>
          <w:szCs w:val="24"/>
        </w:rPr>
        <w:t>муниципального образования «</w:t>
      </w:r>
      <w:r w:rsidR="003B7F8D" w:rsidRPr="003B7F8D">
        <w:rPr>
          <w:rFonts w:ascii="Times New Roman" w:hAnsi="Times New Roman" w:cs="Times New Roman"/>
          <w:b/>
          <w:sz w:val="24"/>
          <w:szCs w:val="24"/>
        </w:rPr>
        <w:t>Муниципальный округ Каракулинский район Удмуртской Республики</w:t>
      </w:r>
      <w:r w:rsidR="00732827">
        <w:rPr>
          <w:rFonts w:ascii="Times New Roman" w:hAnsi="Times New Roman" w:cs="Times New Roman"/>
          <w:b/>
          <w:sz w:val="24"/>
          <w:szCs w:val="24"/>
        </w:rPr>
        <w:t>»</w:t>
      </w:r>
      <w:r w:rsidRPr="00D00F07">
        <w:rPr>
          <w:rFonts w:ascii="Times New Roman" w:hAnsi="Times New Roman" w:cs="Times New Roman"/>
          <w:b/>
          <w:sz w:val="24"/>
          <w:szCs w:val="24"/>
        </w:rPr>
        <w:t>.</w:t>
      </w:r>
    </w:p>
    <w:p w:rsidR="00E12AB2" w:rsidRDefault="00E12AB2" w:rsidP="00E12A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497E">
        <w:rPr>
          <w:rFonts w:ascii="Times New Roman" w:hAnsi="Times New Roman" w:cs="Times New Roman"/>
          <w:sz w:val="24"/>
          <w:szCs w:val="24"/>
        </w:rPr>
        <w:t xml:space="preserve">Исполнение бюджета </w:t>
      </w:r>
      <w:r w:rsidR="00732827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3B7F8D" w:rsidRPr="0062139D">
        <w:rPr>
          <w:rFonts w:ascii="Times New Roman" w:hAnsi="Times New Roman" w:cs="Times New Roman"/>
          <w:sz w:val="24"/>
          <w:szCs w:val="24"/>
        </w:rPr>
        <w:t>Муниципальный округ Каракулинский район Удмуртской Республики</w:t>
      </w:r>
      <w:r w:rsidR="00732827">
        <w:rPr>
          <w:rFonts w:ascii="Times New Roman" w:hAnsi="Times New Roman" w:cs="Times New Roman"/>
          <w:sz w:val="24"/>
          <w:szCs w:val="24"/>
        </w:rPr>
        <w:t>»</w:t>
      </w:r>
      <w:r w:rsidRPr="001B497E">
        <w:rPr>
          <w:rFonts w:ascii="Times New Roman" w:hAnsi="Times New Roman" w:cs="Times New Roman"/>
          <w:sz w:val="24"/>
          <w:szCs w:val="24"/>
        </w:rPr>
        <w:t xml:space="preserve"> в 1 квартале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205BDF">
        <w:rPr>
          <w:rFonts w:ascii="Times New Roman" w:hAnsi="Times New Roman" w:cs="Times New Roman"/>
          <w:sz w:val="24"/>
          <w:szCs w:val="24"/>
        </w:rPr>
        <w:t>6</w:t>
      </w:r>
      <w:r w:rsidRPr="001B497E">
        <w:rPr>
          <w:rFonts w:ascii="Times New Roman" w:hAnsi="Times New Roman" w:cs="Times New Roman"/>
          <w:sz w:val="24"/>
          <w:szCs w:val="24"/>
        </w:rPr>
        <w:t xml:space="preserve"> года по расходам составило </w:t>
      </w:r>
      <w:r w:rsidR="00EA5797">
        <w:rPr>
          <w:rFonts w:ascii="Times New Roman" w:hAnsi="Times New Roman" w:cs="Times New Roman"/>
          <w:sz w:val="24"/>
          <w:szCs w:val="24"/>
        </w:rPr>
        <w:t>1</w:t>
      </w:r>
      <w:r w:rsidR="00205BDF">
        <w:rPr>
          <w:rFonts w:ascii="Times New Roman" w:hAnsi="Times New Roman" w:cs="Times New Roman"/>
          <w:sz w:val="24"/>
          <w:szCs w:val="24"/>
        </w:rPr>
        <w:t>55,76</w:t>
      </w:r>
      <w:r>
        <w:rPr>
          <w:rFonts w:ascii="Times New Roman" w:hAnsi="Times New Roman" w:cs="Times New Roman"/>
          <w:sz w:val="24"/>
          <w:szCs w:val="24"/>
        </w:rPr>
        <w:t xml:space="preserve"> млн. рублей, или </w:t>
      </w:r>
      <w:r w:rsidR="00EA5797">
        <w:rPr>
          <w:rFonts w:ascii="Times New Roman" w:hAnsi="Times New Roman" w:cs="Times New Roman"/>
          <w:sz w:val="24"/>
          <w:szCs w:val="24"/>
        </w:rPr>
        <w:t>1</w:t>
      </w:r>
      <w:r w:rsidR="00205BD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% от годовых назначений.</w:t>
      </w:r>
      <w:r w:rsidRPr="001B49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12AB2" w:rsidRPr="001B497E" w:rsidRDefault="00E12AB2" w:rsidP="00E12A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97E">
        <w:rPr>
          <w:rFonts w:ascii="Times New Roman" w:hAnsi="Times New Roman" w:cs="Times New Roman"/>
          <w:bCs/>
          <w:sz w:val="24"/>
          <w:szCs w:val="24"/>
        </w:rPr>
        <w:t>Выполнение плановых назначений по доходам (</w:t>
      </w:r>
      <w:r w:rsidR="0078219A">
        <w:rPr>
          <w:rFonts w:ascii="Times New Roman" w:hAnsi="Times New Roman" w:cs="Times New Roman"/>
          <w:bCs/>
          <w:sz w:val="24"/>
          <w:szCs w:val="24"/>
        </w:rPr>
        <w:t>1</w:t>
      </w:r>
      <w:r w:rsidR="00205BDF">
        <w:rPr>
          <w:rFonts w:ascii="Times New Roman" w:hAnsi="Times New Roman" w:cs="Times New Roman"/>
          <w:bCs/>
          <w:sz w:val="24"/>
          <w:szCs w:val="24"/>
        </w:rPr>
        <w:t>6</w:t>
      </w:r>
      <w:r w:rsidR="00842919">
        <w:rPr>
          <w:rFonts w:ascii="Times New Roman" w:hAnsi="Times New Roman" w:cs="Times New Roman"/>
          <w:bCs/>
          <w:sz w:val="24"/>
          <w:szCs w:val="24"/>
        </w:rPr>
        <w:t>,0</w:t>
      </w:r>
      <w:r w:rsidRPr="001B497E">
        <w:rPr>
          <w:rFonts w:ascii="Times New Roman" w:hAnsi="Times New Roman" w:cs="Times New Roman"/>
          <w:bCs/>
          <w:sz w:val="24"/>
          <w:szCs w:val="24"/>
        </w:rPr>
        <w:t xml:space="preserve">%) </w:t>
      </w:r>
      <w:r w:rsidR="00205BDF">
        <w:rPr>
          <w:rFonts w:ascii="Times New Roman" w:hAnsi="Times New Roman" w:cs="Times New Roman"/>
          <w:bCs/>
          <w:sz w:val="24"/>
          <w:szCs w:val="24"/>
        </w:rPr>
        <w:t>меньше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497E">
        <w:rPr>
          <w:rFonts w:ascii="Times New Roman" w:hAnsi="Times New Roman" w:cs="Times New Roman"/>
          <w:bCs/>
          <w:sz w:val="24"/>
          <w:szCs w:val="24"/>
        </w:rPr>
        <w:t>выполнения плановых назначений по расходам (</w:t>
      </w:r>
      <w:r w:rsidR="00EA5797">
        <w:rPr>
          <w:rFonts w:ascii="Times New Roman" w:hAnsi="Times New Roman" w:cs="Times New Roman"/>
          <w:bCs/>
          <w:sz w:val="24"/>
          <w:szCs w:val="24"/>
        </w:rPr>
        <w:t>1</w:t>
      </w:r>
      <w:r w:rsidR="00205BDF">
        <w:rPr>
          <w:rFonts w:ascii="Times New Roman" w:hAnsi="Times New Roman" w:cs="Times New Roman"/>
          <w:bCs/>
          <w:sz w:val="24"/>
          <w:szCs w:val="24"/>
        </w:rPr>
        <w:t>8</w:t>
      </w:r>
      <w:r w:rsidRPr="001B497E">
        <w:rPr>
          <w:rFonts w:ascii="Times New Roman" w:hAnsi="Times New Roman" w:cs="Times New Roman"/>
          <w:bCs/>
          <w:sz w:val="24"/>
          <w:szCs w:val="24"/>
        </w:rPr>
        <w:t>%).</w:t>
      </w:r>
    </w:p>
    <w:p w:rsidR="00E12AB2" w:rsidRPr="001B497E" w:rsidRDefault="00E12AB2" w:rsidP="00E12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EC6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827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3B7F8D" w:rsidRPr="0062139D">
        <w:rPr>
          <w:rFonts w:ascii="Times New Roman" w:hAnsi="Times New Roman" w:cs="Times New Roman"/>
          <w:sz w:val="24"/>
          <w:szCs w:val="24"/>
        </w:rPr>
        <w:t>Муниципальный округ Каракулинский район Удмуртской Республики</w:t>
      </w:r>
      <w:r w:rsidR="0073282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 1 квартале 202</w:t>
      </w:r>
      <w:r w:rsidR="00205BD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имел социальную направленность, расходы на социальную сферу </w:t>
      </w:r>
      <w:r w:rsidRPr="00BD13BB">
        <w:rPr>
          <w:rFonts w:ascii="Times New Roman" w:hAnsi="Times New Roman" w:cs="Times New Roman"/>
          <w:sz w:val="24"/>
          <w:szCs w:val="24"/>
        </w:rPr>
        <w:t xml:space="preserve">составили </w:t>
      </w:r>
      <w:r w:rsidR="00BD13BB" w:rsidRPr="00BD13BB">
        <w:rPr>
          <w:rFonts w:ascii="Times New Roman" w:hAnsi="Times New Roman" w:cs="Times New Roman"/>
          <w:sz w:val="24"/>
          <w:szCs w:val="24"/>
        </w:rPr>
        <w:t>7</w:t>
      </w:r>
      <w:r w:rsidR="00F07F3C">
        <w:rPr>
          <w:rFonts w:ascii="Times New Roman" w:hAnsi="Times New Roman" w:cs="Times New Roman"/>
          <w:sz w:val="24"/>
          <w:szCs w:val="24"/>
        </w:rPr>
        <w:t>6</w:t>
      </w:r>
      <w:r w:rsidR="00ED57B0" w:rsidRPr="00BD13BB">
        <w:rPr>
          <w:rFonts w:ascii="Times New Roman" w:hAnsi="Times New Roman" w:cs="Times New Roman"/>
          <w:sz w:val="24"/>
          <w:szCs w:val="24"/>
        </w:rPr>
        <w:t>,</w:t>
      </w:r>
      <w:r w:rsidR="00F07F3C">
        <w:rPr>
          <w:rFonts w:ascii="Times New Roman" w:hAnsi="Times New Roman" w:cs="Times New Roman"/>
          <w:sz w:val="24"/>
          <w:szCs w:val="24"/>
        </w:rPr>
        <w:t>2</w:t>
      </w:r>
      <w:r w:rsidRPr="00BD13BB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от общего объема расходов. </w:t>
      </w:r>
      <w:r w:rsidRPr="001B497E">
        <w:rPr>
          <w:rFonts w:ascii="Times New Roman" w:hAnsi="Times New Roman" w:cs="Times New Roman"/>
          <w:sz w:val="24"/>
          <w:szCs w:val="24"/>
        </w:rPr>
        <w:t xml:space="preserve">Из них </w:t>
      </w:r>
      <w:r>
        <w:rPr>
          <w:rFonts w:ascii="Times New Roman" w:hAnsi="Times New Roman" w:cs="Times New Roman"/>
          <w:sz w:val="24"/>
          <w:szCs w:val="24"/>
        </w:rPr>
        <w:t xml:space="preserve">расходы </w:t>
      </w:r>
      <w:r w:rsidRPr="001B497E">
        <w:rPr>
          <w:rFonts w:ascii="Times New Roman" w:hAnsi="Times New Roman" w:cs="Times New Roman"/>
          <w:sz w:val="24"/>
          <w:szCs w:val="24"/>
        </w:rPr>
        <w:t>на образование</w:t>
      </w:r>
      <w:r w:rsidR="00601BDB">
        <w:rPr>
          <w:rFonts w:ascii="Times New Roman" w:hAnsi="Times New Roman" w:cs="Times New Roman"/>
          <w:sz w:val="24"/>
          <w:szCs w:val="24"/>
        </w:rPr>
        <w:t>, культура</w:t>
      </w:r>
      <w:r w:rsidR="00ED57B0">
        <w:rPr>
          <w:rFonts w:ascii="Times New Roman" w:hAnsi="Times New Roman" w:cs="Times New Roman"/>
          <w:sz w:val="24"/>
          <w:szCs w:val="24"/>
        </w:rPr>
        <w:t xml:space="preserve">, физической культуры и спорт </w:t>
      </w:r>
      <w:r w:rsidR="00BD13BB">
        <w:rPr>
          <w:rFonts w:ascii="Times New Roman" w:hAnsi="Times New Roman" w:cs="Times New Roman"/>
          <w:sz w:val="24"/>
          <w:szCs w:val="24"/>
        </w:rPr>
        <w:t>7</w:t>
      </w:r>
      <w:r w:rsidR="00F07F3C">
        <w:rPr>
          <w:rFonts w:ascii="Times New Roman" w:hAnsi="Times New Roman" w:cs="Times New Roman"/>
          <w:sz w:val="24"/>
          <w:szCs w:val="24"/>
        </w:rPr>
        <w:t>1</w:t>
      </w:r>
      <w:r w:rsidR="002250C5">
        <w:rPr>
          <w:rFonts w:ascii="Times New Roman" w:hAnsi="Times New Roman" w:cs="Times New Roman"/>
          <w:sz w:val="24"/>
          <w:szCs w:val="24"/>
        </w:rPr>
        <w:t>,</w:t>
      </w:r>
      <w:r w:rsidR="00F07F3C">
        <w:rPr>
          <w:rFonts w:ascii="Times New Roman" w:hAnsi="Times New Roman" w:cs="Times New Roman"/>
          <w:sz w:val="24"/>
          <w:szCs w:val="24"/>
        </w:rPr>
        <w:t>4</w:t>
      </w:r>
      <w:r w:rsidRPr="001B497E">
        <w:rPr>
          <w:rFonts w:ascii="Times New Roman" w:hAnsi="Times New Roman" w:cs="Times New Roman"/>
          <w:sz w:val="24"/>
          <w:szCs w:val="24"/>
        </w:rPr>
        <w:t xml:space="preserve"> %, </w:t>
      </w:r>
      <w:r>
        <w:rPr>
          <w:rFonts w:ascii="Times New Roman" w:hAnsi="Times New Roman" w:cs="Times New Roman"/>
          <w:sz w:val="24"/>
          <w:szCs w:val="24"/>
        </w:rPr>
        <w:t xml:space="preserve">на социальную политику – </w:t>
      </w:r>
      <w:r w:rsidR="00BD13BB">
        <w:rPr>
          <w:rFonts w:ascii="Times New Roman" w:hAnsi="Times New Roman" w:cs="Times New Roman"/>
          <w:sz w:val="24"/>
          <w:szCs w:val="24"/>
        </w:rPr>
        <w:t>1</w:t>
      </w:r>
      <w:r w:rsidR="00DD0A39">
        <w:rPr>
          <w:rFonts w:ascii="Times New Roman" w:hAnsi="Times New Roman" w:cs="Times New Roman"/>
          <w:sz w:val="24"/>
          <w:szCs w:val="24"/>
        </w:rPr>
        <w:t>,</w:t>
      </w:r>
      <w:r w:rsidR="00F07F3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1B497E">
        <w:rPr>
          <w:rFonts w:ascii="Times New Roman" w:hAnsi="Times New Roman" w:cs="Times New Roman"/>
          <w:sz w:val="24"/>
          <w:szCs w:val="24"/>
        </w:rPr>
        <w:t>.</w:t>
      </w:r>
    </w:p>
    <w:p w:rsidR="00E12AB2" w:rsidRDefault="00E12AB2" w:rsidP="00E12AB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4. Исполнение бюджета </w:t>
      </w:r>
      <w:r w:rsidR="00DD0A39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601BDB" w:rsidRPr="0062139D">
        <w:rPr>
          <w:rFonts w:ascii="Times New Roman" w:hAnsi="Times New Roman" w:cs="Times New Roman"/>
          <w:sz w:val="24"/>
          <w:szCs w:val="24"/>
        </w:rPr>
        <w:t>Муниципальный округ Каракулинский район Удмуртской Республики</w:t>
      </w:r>
      <w:r w:rsidR="00601BDB">
        <w:rPr>
          <w:rFonts w:ascii="Times New Roman" w:hAnsi="Times New Roman" w:cs="Times New Roman"/>
          <w:sz w:val="24"/>
          <w:szCs w:val="24"/>
        </w:rPr>
        <w:t>»</w:t>
      </w:r>
      <w:r w:rsidR="00DD0A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1 квартале 202</w:t>
      </w:r>
      <w:r w:rsidR="00F07F3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по разделам бюджетной классификации. </w:t>
      </w:r>
    </w:p>
    <w:p w:rsidR="00DB520C" w:rsidRDefault="00DB520C" w:rsidP="00E12AB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984"/>
        <w:gridCol w:w="1701"/>
        <w:gridCol w:w="1356"/>
        <w:gridCol w:w="1405"/>
        <w:gridCol w:w="1066"/>
      </w:tblGrid>
      <w:tr w:rsidR="00E12AB2" w:rsidRPr="00720B3D" w:rsidTr="001044B9">
        <w:trPr>
          <w:trHeight w:val="20"/>
        </w:trPr>
        <w:tc>
          <w:tcPr>
            <w:tcW w:w="398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AB2" w:rsidRPr="00720B3D" w:rsidRDefault="00E12AB2" w:rsidP="001044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20B3D">
              <w:rPr>
                <w:rFonts w:ascii="Times New Roman" w:hAnsi="Times New Roman" w:cs="Times New Roman"/>
                <w:b/>
                <w:bCs/>
              </w:rPr>
              <w:lastRenderedPageBreak/>
              <w:t>Наименование показателя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AB2" w:rsidRPr="00720B3D" w:rsidRDefault="00E12AB2" w:rsidP="00DD0A39">
            <w:pPr>
              <w:tabs>
                <w:tab w:val="left" w:pos="1402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20B3D">
              <w:rPr>
                <w:rFonts w:ascii="Times New Roman" w:hAnsi="Times New Roman" w:cs="Times New Roman"/>
                <w:b/>
                <w:bCs/>
              </w:rPr>
              <w:t xml:space="preserve">Утвержденный план, </w:t>
            </w:r>
            <w:r w:rsidR="00DD0A39">
              <w:rPr>
                <w:rFonts w:ascii="Times New Roman" w:hAnsi="Times New Roman" w:cs="Times New Roman"/>
                <w:b/>
                <w:bCs/>
              </w:rPr>
              <w:t>млн</w:t>
            </w:r>
            <w:r w:rsidRPr="00720B3D">
              <w:rPr>
                <w:rFonts w:ascii="Times New Roman" w:hAnsi="Times New Roman" w:cs="Times New Roman"/>
                <w:b/>
                <w:bCs/>
              </w:rPr>
              <w:t>. руб.</w:t>
            </w:r>
          </w:p>
        </w:tc>
        <w:tc>
          <w:tcPr>
            <w:tcW w:w="2761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AB2" w:rsidRPr="00720B3D" w:rsidRDefault="00E12AB2" w:rsidP="00946E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20B3D">
              <w:rPr>
                <w:rFonts w:ascii="Times New Roman" w:hAnsi="Times New Roman" w:cs="Times New Roman"/>
                <w:b/>
              </w:rPr>
              <w:t>Исполнение за 1 квартал</w:t>
            </w:r>
            <w:r w:rsidR="00A307B7">
              <w:rPr>
                <w:rFonts w:ascii="Times New Roman" w:hAnsi="Times New Roman" w:cs="Times New Roman"/>
                <w:b/>
              </w:rPr>
              <w:t xml:space="preserve"> 202</w:t>
            </w:r>
            <w:r w:rsidR="00946E68">
              <w:rPr>
                <w:rFonts w:ascii="Times New Roman" w:hAnsi="Times New Roman" w:cs="Times New Roman"/>
                <w:b/>
              </w:rPr>
              <w:t>6</w:t>
            </w:r>
            <w:r w:rsidR="00A307B7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  <w:tc>
          <w:tcPr>
            <w:tcW w:w="1066" w:type="dxa"/>
            <w:vMerge w:val="restart"/>
            <w:vAlign w:val="center"/>
          </w:tcPr>
          <w:p w:rsidR="00E12AB2" w:rsidRPr="00720B3D" w:rsidRDefault="00E12AB2" w:rsidP="001044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B3D">
              <w:rPr>
                <w:rFonts w:ascii="Times New Roman" w:hAnsi="Times New Roman" w:cs="Times New Roman"/>
                <w:b/>
                <w:bCs/>
              </w:rPr>
              <w:t>Доля, %</w:t>
            </w:r>
          </w:p>
        </w:tc>
      </w:tr>
      <w:tr w:rsidR="00E12AB2" w:rsidRPr="00720B3D" w:rsidTr="001044B9">
        <w:trPr>
          <w:trHeight w:val="20"/>
        </w:trPr>
        <w:tc>
          <w:tcPr>
            <w:tcW w:w="398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AB2" w:rsidRPr="00720B3D" w:rsidRDefault="00E12AB2" w:rsidP="001044B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AB2" w:rsidRPr="00720B3D" w:rsidRDefault="00E12AB2" w:rsidP="001044B9">
            <w:pPr>
              <w:tabs>
                <w:tab w:val="left" w:pos="1402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AB2" w:rsidRPr="00720B3D" w:rsidRDefault="00DD0A39" w:rsidP="001727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млн</w:t>
            </w:r>
            <w:r w:rsidR="00E12AB2" w:rsidRPr="00720B3D">
              <w:rPr>
                <w:rFonts w:ascii="Times New Roman" w:hAnsi="Times New Roman" w:cs="Times New Roman"/>
                <w:b/>
                <w:bCs/>
              </w:rPr>
              <w:t>. руб.</w:t>
            </w:r>
          </w:p>
        </w:tc>
        <w:tc>
          <w:tcPr>
            <w:tcW w:w="14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AB2" w:rsidRPr="00720B3D" w:rsidRDefault="00E12AB2" w:rsidP="001044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B3D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66" w:type="dxa"/>
            <w:vMerge/>
            <w:vAlign w:val="center"/>
          </w:tcPr>
          <w:p w:rsidR="00E12AB2" w:rsidRPr="00720B3D" w:rsidRDefault="00E12AB2" w:rsidP="001044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92532" w:rsidRPr="00720B3D" w:rsidTr="00564605">
        <w:trPr>
          <w:trHeight w:val="20"/>
        </w:trPr>
        <w:tc>
          <w:tcPr>
            <w:tcW w:w="3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2532" w:rsidRPr="00720B3D" w:rsidRDefault="00292532" w:rsidP="001044B9">
            <w:pPr>
              <w:tabs>
                <w:tab w:val="left" w:pos="4065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0B3D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2532" w:rsidRPr="00720B3D" w:rsidRDefault="00292532" w:rsidP="00F07F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168</w:t>
            </w:r>
            <w:r w:rsidR="00F07F3C">
              <w:rPr>
                <w:rFonts w:ascii="Times New Roman" w:hAnsi="Times New Roman" w:cs="Times New Roman"/>
                <w:color w:val="000000"/>
              </w:rPr>
              <w:t>,62</w:t>
            </w:r>
          </w:p>
        </w:tc>
        <w:tc>
          <w:tcPr>
            <w:tcW w:w="13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2532" w:rsidRPr="00720B3D" w:rsidRDefault="00F07F3C" w:rsidP="005B6A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31,45</w:t>
            </w:r>
          </w:p>
        </w:tc>
        <w:tc>
          <w:tcPr>
            <w:tcW w:w="14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2532" w:rsidRPr="00720B3D" w:rsidRDefault="00292532" w:rsidP="00F07F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F07F3C">
              <w:rPr>
                <w:rFonts w:ascii="Times New Roman" w:hAnsi="Times New Roman" w:cs="Times New Roman"/>
                <w:color w:val="000000"/>
              </w:rPr>
              <w:t>8,7</w:t>
            </w:r>
          </w:p>
        </w:tc>
        <w:tc>
          <w:tcPr>
            <w:tcW w:w="1066" w:type="dxa"/>
          </w:tcPr>
          <w:p w:rsidR="00292532" w:rsidRPr="00292532" w:rsidRDefault="001767EB" w:rsidP="0029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</w:t>
            </w:r>
          </w:p>
        </w:tc>
      </w:tr>
      <w:tr w:rsidR="00292532" w:rsidRPr="00720B3D" w:rsidTr="00564605">
        <w:trPr>
          <w:trHeight w:val="20"/>
        </w:trPr>
        <w:tc>
          <w:tcPr>
            <w:tcW w:w="3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2532" w:rsidRPr="00720B3D" w:rsidRDefault="00292532" w:rsidP="001044B9">
            <w:pPr>
              <w:tabs>
                <w:tab w:val="left" w:pos="4065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НАЦИОНАЛЬНАЯ ОБОРОНА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2532" w:rsidRDefault="00F07F3C" w:rsidP="000F61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1,29</w:t>
            </w:r>
          </w:p>
        </w:tc>
        <w:tc>
          <w:tcPr>
            <w:tcW w:w="13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2532" w:rsidRDefault="00292532" w:rsidP="00F07F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</w:t>
            </w:r>
            <w:r w:rsidR="00F07F3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2532" w:rsidRDefault="00F07F3C" w:rsidP="00AE08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22,5</w:t>
            </w:r>
          </w:p>
        </w:tc>
        <w:tc>
          <w:tcPr>
            <w:tcW w:w="1066" w:type="dxa"/>
          </w:tcPr>
          <w:p w:rsidR="00292532" w:rsidRPr="00292532" w:rsidRDefault="001767EB" w:rsidP="0029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</w:tr>
      <w:tr w:rsidR="00292532" w:rsidRPr="00720B3D" w:rsidTr="00564605">
        <w:trPr>
          <w:trHeight w:val="20"/>
        </w:trPr>
        <w:tc>
          <w:tcPr>
            <w:tcW w:w="3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2532" w:rsidRPr="00720B3D" w:rsidRDefault="00292532" w:rsidP="001044B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0B3D">
              <w:rPr>
                <w:rFonts w:ascii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2532" w:rsidRPr="00720B3D" w:rsidRDefault="00F07F3C" w:rsidP="000F61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5,09</w:t>
            </w:r>
          </w:p>
        </w:tc>
        <w:tc>
          <w:tcPr>
            <w:tcW w:w="13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2532" w:rsidRPr="00720B3D" w:rsidRDefault="00F07F3C" w:rsidP="00FC3C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0,39</w:t>
            </w:r>
          </w:p>
        </w:tc>
        <w:tc>
          <w:tcPr>
            <w:tcW w:w="14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2532" w:rsidRPr="00720B3D" w:rsidRDefault="00F07F3C" w:rsidP="000F61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7,7</w:t>
            </w:r>
          </w:p>
        </w:tc>
        <w:tc>
          <w:tcPr>
            <w:tcW w:w="1066" w:type="dxa"/>
          </w:tcPr>
          <w:p w:rsidR="00292532" w:rsidRPr="00292532" w:rsidRDefault="00292532" w:rsidP="001767EB">
            <w:pPr>
              <w:rPr>
                <w:rFonts w:ascii="Times New Roman" w:hAnsi="Times New Roman" w:cs="Times New Roman"/>
              </w:rPr>
            </w:pPr>
            <w:r w:rsidRPr="00292532">
              <w:rPr>
                <w:rFonts w:ascii="Times New Roman" w:hAnsi="Times New Roman" w:cs="Times New Roman"/>
              </w:rPr>
              <w:t>0,</w:t>
            </w:r>
            <w:r w:rsidR="001767EB">
              <w:rPr>
                <w:rFonts w:ascii="Times New Roman" w:hAnsi="Times New Roman" w:cs="Times New Roman"/>
              </w:rPr>
              <w:t>2</w:t>
            </w:r>
          </w:p>
        </w:tc>
      </w:tr>
      <w:tr w:rsidR="00292532" w:rsidRPr="00720B3D" w:rsidTr="00564605">
        <w:trPr>
          <w:trHeight w:val="20"/>
        </w:trPr>
        <w:tc>
          <w:tcPr>
            <w:tcW w:w="3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2532" w:rsidRPr="00E30388" w:rsidRDefault="00292532" w:rsidP="001044B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30388">
              <w:rPr>
                <w:rFonts w:ascii="Times New Roman" w:hAnsi="Times New Roman" w:cs="Times New Roman"/>
                <w:iCs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2532" w:rsidRPr="00720B3D" w:rsidRDefault="00F07F3C" w:rsidP="00FC3C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51,09</w:t>
            </w:r>
          </w:p>
        </w:tc>
        <w:tc>
          <w:tcPr>
            <w:tcW w:w="13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2532" w:rsidRPr="00720B3D" w:rsidRDefault="00F07F3C" w:rsidP="001044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4,29</w:t>
            </w:r>
          </w:p>
        </w:tc>
        <w:tc>
          <w:tcPr>
            <w:tcW w:w="14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2532" w:rsidRPr="00AE08C2" w:rsidRDefault="00F07F3C" w:rsidP="000F61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8,4</w:t>
            </w:r>
          </w:p>
        </w:tc>
        <w:tc>
          <w:tcPr>
            <w:tcW w:w="1066" w:type="dxa"/>
          </w:tcPr>
          <w:p w:rsidR="00292532" w:rsidRPr="00292532" w:rsidRDefault="001767EB" w:rsidP="0029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</w:tr>
      <w:tr w:rsidR="00292532" w:rsidRPr="00720B3D" w:rsidTr="00564605">
        <w:trPr>
          <w:trHeight w:val="20"/>
        </w:trPr>
        <w:tc>
          <w:tcPr>
            <w:tcW w:w="3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2532" w:rsidRPr="00E30388" w:rsidRDefault="00292532" w:rsidP="001044B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30388">
              <w:rPr>
                <w:rFonts w:ascii="Times New Roman" w:hAnsi="Times New Roman" w:cs="Times New Roman"/>
                <w:iCs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2532" w:rsidRPr="00720B3D" w:rsidRDefault="00F07F3C" w:rsidP="001044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44,84</w:t>
            </w:r>
          </w:p>
        </w:tc>
        <w:tc>
          <w:tcPr>
            <w:tcW w:w="13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2532" w:rsidRPr="00720B3D" w:rsidRDefault="00F07F3C" w:rsidP="001044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0,57</w:t>
            </w:r>
          </w:p>
        </w:tc>
        <w:tc>
          <w:tcPr>
            <w:tcW w:w="14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2532" w:rsidRPr="000F6141" w:rsidRDefault="004E7D51" w:rsidP="000F61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1,3</w:t>
            </w:r>
          </w:p>
        </w:tc>
        <w:tc>
          <w:tcPr>
            <w:tcW w:w="1066" w:type="dxa"/>
          </w:tcPr>
          <w:p w:rsidR="00292532" w:rsidRPr="00292532" w:rsidRDefault="001767EB" w:rsidP="0029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292532" w:rsidRPr="00720B3D" w:rsidTr="00564605">
        <w:trPr>
          <w:trHeight w:val="20"/>
        </w:trPr>
        <w:tc>
          <w:tcPr>
            <w:tcW w:w="3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2532" w:rsidRPr="00720B3D" w:rsidRDefault="00292532" w:rsidP="001044B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ОХРАНА ОКРУЖАЮЩЕЙ СРЕДЫ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2532" w:rsidRDefault="004E7D51" w:rsidP="00FC3C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0,12</w:t>
            </w:r>
          </w:p>
        </w:tc>
        <w:tc>
          <w:tcPr>
            <w:tcW w:w="13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2532" w:rsidRDefault="00292532" w:rsidP="001044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2532" w:rsidRPr="000F6141" w:rsidRDefault="00292532" w:rsidP="000F6141">
            <w:pPr>
              <w:jc w:val="center"/>
              <w:rPr>
                <w:rFonts w:ascii="Times New Roman" w:hAnsi="Times New Roman" w:cs="Times New Roman"/>
              </w:rPr>
            </w:pPr>
            <w:r w:rsidRPr="000F61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6" w:type="dxa"/>
          </w:tcPr>
          <w:p w:rsidR="00292532" w:rsidRPr="00292532" w:rsidRDefault="00292532" w:rsidP="00564605">
            <w:pPr>
              <w:rPr>
                <w:rFonts w:ascii="Times New Roman" w:hAnsi="Times New Roman" w:cs="Times New Roman"/>
              </w:rPr>
            </w:pPr>
            <w:r w:rsidRPr="00292532">
              <w:rPr>
                <w:rFonts w:ascii="Times New Roman" w:hAnsi="Times New Roman" w:cs="Times New Roman"/>
              </w:rPr>
              <w:t>0</w:t>
            </w:r>
          </w:p>
        </w:tc>
      </w:tr>
      <w:tr w:rsidR="00292532" w:rsidRPr="00720B3D" w:rsidTr="00564605">
        <w:trPr>
          <w:trHeight w:val="20"/>
        </w:trPr>
        <w:tc>
          <w:tcPr>
            <w:tcW w:w="3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2532" w:rsidRPr="00720B3D" w:rsidRDefault="00292532" w:rsidP="001044B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0B3D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2532" w:rsidRPr="00720B3D" w:rsidRDefault="00292532" w:rsidP="004E7D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4E7D51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>5,</w:t>
            </w:r>
            <w:r w:rsidR="004E7D51">
              <w:rPr>
                <w:rFonts w:ascii="Times New Roman" w:hAnsi="Times New Roman" w:cs="Times New Roman"/>
                <w:color w:val="000000"/>
              </w:rPr>
              <w:t>,95</w:t>
            </w:r>
          </w:p>
        </w:tc>
        <w:tc>
          <w:tcPr>
            <w:tcW w:w="13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2532" w:rsidRPr="00720B3D" w:rsidRDefault="004E7D51" w:rsidP="00FC3C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100,32</w:t>
            </w:r>
          </w:p>
        </w:tc>
        <w:tc>
          <w:tcPr>
            <w:tcW w:w="14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2532" w:rsidRPr="000F6141" w:rsidRDefault="00292532" w:rsidP="000F6141">
            <w:pPr>
              <w:jc w:val="center"/>
              <w:rPr>
                <w:rFonts w:ascii="Times New Roman" w:hAnsi="Times New Roman" w:cs="Times New Roman"/>
              </w:rPr>
            </w:pPr>
            <w:r w:rsidRPr="000F6141">
              <w:rPr>
                <w:rFonts w:ascii="Times New Roman" w:hAnsi="Times New Roman" w:cs="Times New Roman"/>
              </w:rPr>
              <w:t>20</w:t>
            </w:r>
            <w:r w:rsidR="004E7D51"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1066" w:type="dxa"/>
          </w:tcPr>
          <w:p w:rsidR="00292532" w:rsidRPr="00292532" w:rsidRDefault="001767EB" w:rsidP="0029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</w:tc>
      </w:tr>
      <w:tr w:rsidR="00292532" w:rsidRPr="00720B3D" w:rsidTr="00564605">
        <w:trPr>
          <w:trHeight w:val="20"/>
        </w:trPr>
        <w:tc>
          <w:tcPr>
            <w:tcW w:w="3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2532" w:rsidRPr="00720B3D" w:rsidRDefault="00292532" w:rsidP="001044B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0B3D">
              <w:rPr>
                <w:rFonts w:ascii="Times New Roman" w:hAnsi="Times New Roman" w:cs="Times New Roman"/>
              </w:rPr>
              <w:t>КУЛЬТУРА И КИНЕМАТОГРАФИЯ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2532" w:rsidRPr="00720B3D" w:rsidRDefault="004E7D51" w:rsidP="00FC3C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93,21</w:t>
            </w:r>
          </w:p>
        </w:tc>
        <w:tc>
          <w:tcPr>
            <w:tcW w:w="13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2532" w:rsidRPr="00720B3D" w:rsidRDefault="004E7D51" w:rsidP="002925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16,0</w:t>
            </w:r>
          </w:p>
        </w:tc>
        <w:tc>
          <w:tcPr>
            <w:tcW w:w="14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2532" w:rsidRPr="000F6141" w:rsidRDefault="004E7D51" w:rsidP="00AE0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066" w:type="dxa"/>
          </w:tcPr>
          <w:p w:rsidR="00292532" w:rsidRPr="00292532" w:rsidRDefault="001767EB" w:rsidP="0029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</w:t>
            </w:r>
          </w:p>
        </w:tc>
      </w:tr>
      <w:tr w:rsidR="00292532" w:rsidRPr="00720B3D" w:rsidTr="00564605">
        <w:trPr>
          <w:trHeight w:val="20"/>
        </w:trPr>
        <w:tc>
          <w:tcPr>
            <w:tcW w:w="3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2532" w:rsidRPr="00720B3D" w:rsidRDefault="00292532" w:rsidP="001044B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0B3D"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2532" w:rsidRPr="00720B3D" w:rsidRDefault="004E7D51" w:rsidP="00FC3C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6,36</w:t>
            </w:r>
          </w:p>
        </w:tc>
        <w:tc>
          <w:tcPr>
            <w:tcW w:w="13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2532" w:rsidRPr="00720B3D" w:rsidRDefault="004E7D51" w:rsidP="008622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1,94</w:t>
            </w:r>
          </w:p>
        </w:tc>
        <w:tc>
          <w:tcPr>
            <w:tcW w:w="14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2532" w:rsidRPr="000F6141" w:rsidRDefault="004E7D51" w:rsidP="00AE0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066" w:type="dxa"/>
          </w:tcPr>
          <w:p w:rsidR="00292532" w:rsidRPr="00292532" w:rsidRDefault="001767EB" w:rsidP="0029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292532" w:rsidRPr="00720B3D" w:rsidTr="00564605">
        <w:trPr>
          <w:trHeight w:val="20"/>
        </w:trPr>
        <w:tc>
          <w:tcPr>
            <w:tcW w:w="3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2532" w:rsidRPr="00720B3D" w:rsidRDefault="00292532" w:rsidP="001044B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0B3D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2532" w:rsidRPr="00720B3D" w:rsidRDefault="004E7D51" w:rsidP="00D53D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0,77</w:t>
            </w:r>
          </w:p>
        </w:tc>
        <w:tc>
          <w:tcPr>
            <w:tcW w:w="13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2532" w:rsidRPr="00720B3D" w:rsidRDefault="00292532" w:rsidP="004E7D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</w:t>
            </w:r>
            <w:r w:rsidR="004E7D51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4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2532" w:rsidRPr="000F6141" w:rsidRDefault="004E7D51" w:rsidP="00AE0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066" w:type="dxa"/>
          </w:tcPr>
          <w:p w:rsidR="00292532" w:rsidRPr="00292532" w:rsidRDefault="001767EB" w:rsidP="0029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434AFB" w:rsidRPr="00720B3D" w:rsidTr="004B1995">
        <w:trPr>
          <w:trHeight w:val="20"/>
        </w:trPr>
        <w:tc>
          <w:tcPr>
            <w:tcW w:w="3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4AFB" w:rsidRPr="00720B3D" w:rsidRDefault="00434AFB" w:rsidP="001044B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0B3D">
              <w:rPr>
                <w:rFonts w:ascii="Times New Roman" w:hAnsi="Times New Roman" w:cs="Times New Roman"/>
              </w:rPr>
              <w:t>ОБСЛУЖИВАНИЕ ГОСУДАРСТВЕННОГО И МУНИЦИПАЛЬНОГО ДОЛГА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4AFB" w:rsidRPr="00720B3D" w:rsidRDefault="004B1995" w:rsidP="000F61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0,01</w:t>
            </w:r>
            <w:r w:rsidR="000F614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4AFB" w:rsidRPr="00720B3D" w:rsidRDefault="004B1995" w:rsidP="00D513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4AFB" w:rsidRPr="000F6141" w:rsidRDefault="004B1995" w:rsidP="004B1995">
            <w:pPr>
              <w:jc w:val="center"/>
              <w:rPr>
                <w:rFonts w:ascii="Times New Roman" w:hAnsi="Times New Roman" w:cs="Times New Roman"/>
              </w:rPr>
            </w:pPr>
            <w:r w:rsidRPr="000F614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66" w:type="dxa"/>
            <w:vAlign w:val="center"/>
          </w:tcPr>
          <w:p w:rsidR="00434AFB" w:rsidRDefault="00434AFB" w:rsidP="004B1995">
            <w:pPr>
              <w:jc w:val="center"/>
            </w:pPr>
          </w:p>
        </w:tc>
      </w:tr>
      <w:tr w:rsidR="00434AFB" w:rsidRPr="00720B3D" w:rsidTr="00A154BA">
        <w:trPr>
          <w:trHeight w:val="20"/>
        </w:trPr>
        <w:tc>
          <w:tcPr>
            <w:tcW w:w="3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4AFB" w:rsidRPr="00720B3D" w:rsidRDefault="00434AFB" w:rsidP="001044B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4AFB" w:rsidRPr="00720B3D" w:rsidRDefault="00434AFB" w:rsidP="001044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4AFB" w:rsidRPr="00720B3D" w:rsidRDefault="00434AFB" w:rsidP="001044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34AFB" w:rsidRDefault="00434AFB" w:rsidP="00434AFB">
            <w:pPr>
              <w:jc w:val="center"/>
            </w:pPr>
          </w:p>
        </w:tc>
        <w:tc>
          <w:tcPr>
            <w:tcW w:w="1066" w:type="dxa"/>
          </w:tcPr>
          <w:p w:rsidR="00434AFB" w:rsidRDefault="00434AFB"/>
        </w:tc>
      </w:tr>
      <w:tr w:rsidR="00E12AB2" w:rsidRPr="00720B3D" w:rsidTr="001044B9">
        <w:trPr>
          <w:trHeight w:val="20"/>
        </w:trPr>
        <w:tc>
          <w:tcPr>
            <w:tcW w:w="3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AB2" w:rsidRPr="00720B3D" w:rsidRDefault="00E12AB2" w:rsidP="001044B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720B3D">
              <w:rPr>
                <w:rFonts w:ascii="Times New Roman" w:hAnsi="Times New Roman" w:cs="Times New Roman"/>
                <w:b/>
                <w:bCs/>
              </w:rPr>
              <w:t>ВСЕГО РАСХОДОВ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AB2" w:rsidRPr="00720B3D" w:rsidRDefault="004E7D51" w:rsidP="002250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867,35</w:t>
            </w:r>
          </w:p>
        </w:tc>
        <w:tc>
          <w:tcPr>
            <w:tcW w:w="13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AB2" w:rsidRPr="00720B3D" w:rsidRDefault="004E7D51" w:rsidP="002250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155,76</w:t>
            </w:r>
          </w:p>
        </w:tc>
        <w:tc>
          <w:tcPr>
            <w:tcW w:w="14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AB2" w:rsidRPr="00720B3D" w:rsidRDefault="00EA5797" w:rsidP="004E7D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</w:t>
            </w:r>
            <w:r w:rsidR="004E7D51">
              <w:rPr>
                <w:rFonts w:ascii="Times New Roman" w:hAnsi="Times New Roman" w:cs="Times New Roman"/>
                <w:b/>
                <w:color w:val="000000"/>
              </w:rPr>
              <w:t>8</w:t>
            </w:r>
            <w:r w:rsidR="00E30388">
              <w:rPr>
                <w:rFonts w:ascii="Times New Roman" w:hAnsi="Times New Roman" w:cs="Times New Roman"/>
                <w:b/>
                <w:color w:val="000000"/>
              </w:rPr>
              <w:t>,0</w:t>
            </w:r>
          </w:p>
        </w:tc>
        <w:tc>
          <w:tcPr>
            <w:tcW w:w="1066" w:type="dxa"/>
            <w:vAlign w:val="center"/>
          </w:tcPr>
          <w:p w:rsidR="00E12AB2" w:rsidRPr="00720B3D" w:rsidRDefault="00E12AB2" w:rsidP="00AE08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20B3D">
              <w:rPr>
                <w:rFonts w:ascii="Times New Roman" w:hAnsi="Times New Roman" w:cs="Times New Roman"/>
                <w:b/>
                <w:color w:val="000000"/>
              </w:rPr>
              <w:t>100%</w:t>
            </w:r>
          </w:p>
        </w:tc>
      </w:tr>
    </w:tbl>
    <w:p w:rsidR="00664858" w:rsidRDefault="00E12AB2" w:rsidP="00E12AB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ACA">
        <w:rPr>
          <w:rFonts w:ascii="Times New Roman" w:hAnsi="Times New Roman" w:cs="Times New Roman"/>
          <w:sz w:val="24"/>
          <w:szCs w:val="24"/>
        </w:rPr>
        <w:t>Более 25%</w:t>
      </w:r>
      <w:r>
        <w:rPr>
          <w:rFonts w:ascii="Times New Roman" w:hAnsi="Times New Roman" w:cs="Times New Roman"/>
          <w:sz w:val="24"/>
          <w:szCs w:val="24"/>
        </w:rPr>
        <w:t xml:space="preserve"> исполнение составило по раздел</w:t>
      </w:r>
      <w:r w:rsidR="00C775E0">
        <w:rPr>
          <w:rFonts w:ascii="Times New Roman" w:hAnsi="Times New Roman" w:cs="Times New Roman"/>
          <w:sz w:val="24"/>
          <w:szCs w:val="24"/>
        </w:rPr>
        <w:t xml:space="preserve">у </w:t>
      </w:r>
      <w:r w:rsidR="009C4ACA">
        <w:rPr>
          <w:rFonts w:ascii="Times New Roman" w:hAnsi="Times New Roman" w:cs="Times New Roman"/>
          <w:sz w:val="24"/>
          <w:szCs w:val="24"/>
        </w:rPr>
        <w:t xml:space="preserve">«Физическая культура и спорт </w:t>
      </w:r>
      <w:r w:rsidR="000D7346">
        <w:rPr>
          <w:rFonts w:ascii="Times New Roman" w:hAnsi="Times New Roman" w:cs="Times New Roman"/>
          <w:sz w:val="24"/>
          <w:szCs w:val="24"/>
        </w:rPr>
        <w:t>64,9</w:t>
      </w:r>
      <w:r w:rsidR="009C4ACA">
        <w:rPr>
          <w:rFonts w:ascii="Times New Roman" w:hAnsi="Times New Roman" w:cs="Times New Roman"/>
          <w:sz w:val="24"/>
          <w:szCs w:val="24"/>
        </w:rPr>
        <w:t xml:space="preserve">%», </w:t>
      </w:r>
      <w:r w:rsidR="004B1995">
        <w:rPr>
          <w:rFonts w:ascii="Times New Roman" w:hAnsi="Times New Roman" w:cs="Times New Roman"/>
          <w:sz w:val="24"/>
          <w:szCs w:val="24"/>
        </w:rPr>
        <w:t xml:space="preserve">«Социальная политика </w:t>
      </w:r>
      <w:r w:rsidR="000D7346">
        <w:rPr>
          <w:rFonts w:ascii="Times New Roman" w:hAnsi="Times New Roman" w:cs="Times New Roman"/>
          <w:sz w:val="24"/>
          <w:szCs w:val="24"/>
        </w:rPr>
        <w:t>30,5</w:t>
      </w:r>
      <w:r w:rsidR="004B1995">
        <w:rPr>
          <w:rFonts w:ascii="Times New Roman" w:hAnsi="Times New Roman" w:cs="Times New Roman"/>
          <w:sz w:val="24"/>
          <w:szCs w:val="24"/>
        </w:rPr>
        <w:t>%</w:t>
      </w:r>
      <w:r w:rsidR="009C4ACA">
        <w:rPr>
          <w:rFonts w:ascii="Times New Roman" w:hAnsi="Times New Roman" w:cs="Times New Roman"/>
          <w:sz w:val="24"/>
          <w:szCs w:val="24"/>
        </w:rPr>
        <w:t xml:space="preserve">», </w:t>
      </w:r>
      <w:r w:rsidRPr="00AB08BF">
        <w:rPr>
          <w:rFonts w:ascii="Times New Roman" w:hAnsi="Times New Roman" w:cs="Times New Roman"/>
          <w:sz w:val="24"/>
          <w:szCs w:val="24"/>
        </w:rPr>
        <w:t xml:space="preserve">Менее 25% от годовых назначений исполнение по </w:t>
      </w:r>
      <w:r>
        <w:rPr>
          <w:rFonts w:ascii="Times New Roman" w:hAnsi="Times New Roman" w:cs="Times New Roman"/>
          <w:sz w:val="24"/>
          <w:szCs w:val="24"/>
        </w:rPr>
        <w:t>остальным</w:t>
      </w:r>
      <w:r w:rsidRPr="00AB08BF">
        <w:rPr>
          <w:rFonts w:ascii="Times New Roman" w:hAnsi="Times New Roman" w:cs="Times New Roman"/>
          <w:sz w:val="24"/>
          <w:szCs w:val="24"/>
        </w:rPr>
        <w:t xml:space="preserve"> разделам</w:t>
      </w:r>
      <w:r w:rsidR="00C637B2">
        <w:rPr>
          <w:rFonts w:ascii="Times New Roman" w:hAnsi="Times New Roman" w:cs="Times New Roman"/>
          <w:sz w:val="24"/>
          <w:szCs w:val="24"/>
        </w:rPr>
        <w:t xml:space="preserve">», </w:t>
      </w:r>
      <w:r w:rsidR="004B1995">
        <w:rPr>
          <w:rFonts w:ascii="Times New Roman" w:hAnsi="Times New Roman" w:cs="Times New Roman"/>
          <w:sz w:val="24"/>
          <w:szCs w:val="24"/>
        </w:rPr>
        <w:t>«Образование 2</w:t>
      </w:r>
      <w:r w:rsidR="009C4ACA">
        <w:rPr>
          <w:rFonts w:ascii="Times New Roman" w:hAnsi="Times New Roman" w:cs="Times New Roman"/>
          <w:sz w:val="24"/>
          <w:szCs w:val="24"/>
        </w:rPr>
        <w:t>0</w:t>
      </w:r>
      <w:r w:rsidR="000D7346">
        <w:rPr>
          <w:rFonts w:ascii="Times New Roman" w:hAnsi="Times New Roman" w:cs="Times New Roman"/>
          <w:sz w:val="24"/>
          <w:szCs w:val="24"/>
        </w:rPr>
        <w:t>,2</w:t>
      </w:r>
      <w:r w:rsidR="004B1995">
        <w:rPr>
          <w:rFonts w:ascii="Times New Roman" w:hAnsi="Times New Roman" w:cs="Times New Roman"/>
          <w:sz w:val="24"/>
          <w:szCs w:val="24"/>
        </w:rPr>
        <w:t>%»</w:t>
      </w:r>
      <w:r w:rsidR="009C4ACA">
        <w:rPr>
          <w:rFonts w:ascii="Times New Roman" w:hAnsi="Times New Roman" w:cs="Times New Roman"/>
          <w:sz w:val="24"/>
          <w:szCs w:val="24"/>
        </w:rPr>
        <w:t>, «Национальная оборона – 2</w:t>
      </w:r>
      <w:r w:rsidR="000D7346">
        <w:rPr>
          <w:rFonts w:ascii="Times New Roman" w:hAnsi="Times New Roman" w:cs="Times New Roman"/>
          <w:sz w:val="24"/>
          <w:szCs w:val="24"/>
        </w:rPr>
        <w:t>2,5</w:t>
      </w:r>
      <w:r w:rsidR="009C4ACA">
        <w:rPr>
          <w:rFonts w:ascii="Times New Roman" w:hAnsi="Times New Roman" w:cs="Times New Roman"/>
          <w:sz w:val="24"/>
          <w:szCs w:val="24"/>
        </w:rPr>
        <w:t xml:space="preserve">% </w:t>
      </w:r>
      <w:r w:rsidR="004B1995">
        <w:rPr>
          <w:rFonts w:ascii="Times New Roman" w:hAnsi="Times New Roman" w:cs="Times New Roman"/>
          <w:sz w:val="24"/>
          <w:szCs w:val="24"/>
        </w:rPr>
        <w:t xml:space="preserve"> </w:t>
      </w:r>
      <w:r w:rsidR="00C637B2">
        <w:rPr>
          <w:rFonts w:ascii="Times New Roman" w:hAnsi="Times New Roman" w:cs="Times New Roman"/>
          <w:sz w:val="24"/>
          <w:szCs w:val="24"/>
        </w:rPr>
        <w:t>«</w:t>
      </w:r>
      <w:r w:rsidR="001A1EDC">
        <w:rPr>
          <w:rFonts w:ascii="Times New Roman" w:hAnsi="Times New Roman" w:cs="Times New Roman"/>
          <w:sz w:val="24"/>
          <w:szCs w:val="24"/>
        </w:rPr>
        <w:t>Общегосударственные вопросы</w:t>
      </w:r>
      <w:r w:rsidR="00C775E0">
        <w:rPr>
          <w:rFonts w:ascii="Times New Roman" w:hAnsi="Times New Roman" w:cs="Times New Roman"/>
          <w:sz w:val="24"/>
          <w:szCs w:val="24"/>
        </w:rPr>
        <w:t xml:space="preserve"> </w:t>
      </w:r>
      <w:r w:rsidR="009C4ACA">
        <w:rPr>
          <w:rFonts w:ascii="Times New Roman" w:hAnsi="Times New Roman" w:cs="Times New Roman"/>
          <w:sz w:val="24"/>
          <w:szCs w:val="24"/>
        </w:rPr>
        <w:t>1</w:t>
      </w:r>
      <w:r w:rsidR="000D7346">
        <w:rPr>
          <w:rFonts w:ascii="Times New Roman" w:hAnsi="Times New Roman" w:cs="Times New Roman"/>
          <w:sz w:val="24"/>
          <w:szCs w:val="24"/>
        </w:rPr>
        <w:t>8,</w:t>
      </w:r>
      <w:r w:rsidR="009C4ACA">
        <w:rPr>
          <w:rFonts w:ascii="Times New Roman" w:hAnsi="Times New Roman" w:cs="Times New Roman"/>
          <w:sz w:val="24"/>
          <w:szCs w:val="24"/>
        </w:rPr>
        <w:t>7</w:t>
      </w:r>
      <w:r w:rsidR="00C775E0">
        <w:rPr>
          <w:rFonts w:ascii="Times New Roman" w:hAnsi="Times New Roman" w:cs="Times New Roman"/>
          <w:sz w:val="24"/>
          <w:szCs w:val="24"/>
        </w:rPr>
        <w:t>%»</w:t>
      </w:r>
      <w:r w:rsidR="009C4ACA">
        <w:rPr>
          <w:rFonts w:ascii="Times New Roman" w:hAnsi="Times New Roman" w:cs="Times New Roman"/>
          <w:sz w:val="24"/>
          <w:szCs w:val="24"/>
        </w:rPr>
        <w:t>, «Культура и кинематография 1</w:t>
      </w:r>
      <w:r w:rsidR="000D7346">
        <w:rPr>
          <w:rFonts w:ascii="Times New Roman" w:hAnsi="Times New Roman" w:cs="Times New Roman"/>
          <w:sz w:val="24"/>
          <w:szCs w:val="24"/>
        </w:rPr>
        <w:t>7,2</w:t>
      </w:r>
      <w:r w:rsidR="009C4ACA">
        <w:rPr>
          <w:rFonts w:ascii="Times New Roman" w:hAnsi="Times New Roman" w:cs="Times New Roman"/>
          <w:sz w:val="24"/>
          <w:szCs w:val="24"/>
        </w:rPr>
        <w:t>%»</w:t>
      </w:r>
      <w:r w:rsidRPr="00AB08BF">
        <w:rPr>
          <w:rFonts w:ascii="Times New Roman" w:hAnsi="Times New Roman" w:cs="Times New Roman"/>
          <w:sz w:val="24"/>
          <w:szCs w:val="24"/>
        </w:rPr>
        <w:t>. Наименьшее значение исполнения расходов</w:t>
      </w:r>
      <w:r>
        <w:rPr>
          <w:rFonts w:ascii="Times New Roman" w:hAnsi="Times New Roman" w:cs="Times New Roman"/>
          <w:sz w:val="24"/>
          <w:szCs w:val="24"/>
        </w:rPr>
        <w:t xml:space="preserve"> бюджета отмечено по разделам «Н</w:t>
      </w:r>
      <w:r w:rsidRPr="00AB08BF">
        <w:rPr>
          <w:rFonts w:ascii="Times New Roman" w:hAnsi="Times New Roman" w:cs="Times New Roman"/>
          <w:sz w:val="24"/>
          <w:szCs w:val="24"/>
        </w:rPr>
        <w:t>ациональная экономика» (</w:t>
      </w:r>
      <w:r w:rsidR="000D7346">
        <w:rPr>
          <w:rFonts w:ascii="Times New Roman" w:hAnsi="Times New Roman" w:cs="Times New Roman"/>
          <w:sz w:val="24"/>
          <w:szCs w:val="24"/>
        </w:rPr>
        <w:t>8,4</w:t>
      </w:r>
      <w:r w:rsidR="001A1EDC">
        <w:rPr>
          <w:rFonts w:ascii="Times New Roman" w:hAnsi="Times New Roman" w:cs="Times New Roman"/>
          <w:sz w:val="24"/>
          <w:szCs w:val="24"/>
        </w:rPr>
        <w:t xml:space="preserve">%), </w:t>
      </w:r>
      <w:r w:rsidR="00B0327A">
        <w:rPr>
          <w:rFonts w:ascii="Times New Roman" w:hAnsi="Times New Roman" w:cs="Times New Roman"/>
          <w:sz w:val="24"/>
          <w:szCs w:val="24"/>
        </w:rPr>
        <w:t xml:space="preserve">«Национальная безопасность и правоохранительная деятельность </w:t>
      </w:r>
      <w:r w:rsidR="007E1FAF">
        <w:rPr>
          <w:rFonts w:ascii="Times New Roman" w:hAnsi="Times New Roman" w:cs="Times New Roman"/>
          <w:sz w:val="24"/>
          <w:szCs w:val="24"/>
        </w:rPr>
        <w:t>7,7</w:t>
      </w:r>
      <w:r w:rsidR="00B0327A">
        <w:rPr>
          <w:rFonts w:ascii="Times New Roman" w:hAnsi="Times New Roman" w:cs="Times New Roman"/>
          <w:sz w:val="24"/>
          <w:szCs w:val="24"/>
        </w:rPr>
        <w:t xml:space="preserve">%» </w:t>
      </w:r>
      <w:r>
        <w:rPr>
          <w:rFonts w:ascii="Times New Roman" w:hAnsi="Times New Roman" w:cs="Times New Roman"/>
          <w:sz w:val="24"/>
          <w:szCs w:val="24"/>
        </w:rPr>
        <w:t>и «Ж</w:t>
      </w:r>
      <w:r w:rsidRPr="00AB08BF">
        <w:rPr>
          <w:rFonts w:ascii="Times New Roman" w:hAnsi="Times New Roman" w:cs="Times New Roman"/>
          <w:sz w:val="24"/>
          <w:szCs w:val="24"/>
        </w:rPr>
        <w:t xml:space="preserve">илищно-коммунальное хозяйство – </w:t>
      </w:r>
      <w:r w:rsidR="007E1FAF">
        <w:rPr>
          <w:rFonts w:ascii="Times New Roman" w:hAnsi="Times New Roman" w:cs="Times New Roman"/>
          <w:sz w:val="24"/>
          <w:szCs w:val="24"/>
        </w:rPr>
        <w:t>1,3</w:t>
      </w:r>
      <w:r>
        <w:rPr>
          <w:rFonts w:ascii="Times New Roman" w:hAnsi="Times New Roman" w:cs="Times New Roman"/>
          <w:sz w:val="24"/>
          <w:szCs w:val="24"/>
        </w:rPr>
        <w:t>%</w:t>
      </w:r>
      <w:r w:rsidR="004B1995">
        <w:rPr>
          <w:rFonts w:ascii="Times New Roman" w:hAnsi="Times New Roman" w:cs="Times New Roman"/>
          <w:sz w:val="24"/>
          <w:szCs w:val="24"/>
        </w:rPr>
        <w:t>»</w:t>
      </w:r>
      <w:r w:rsidR="001A1EDC">
        <w:rPr>
          <w:rFonts w:ascii="Times New Roman" w:hAnsi="Times New Roman" w:cs="Times New Roman"/>
          <w:sz w:val="24"/>
          <w:szCs w:val="24"/>
        </w:rPr>
        <w:t>.</w:t>
      </w:r>
      <w:r w:rsidR="004B1995">
        <w:rPr>
          <w:rFonts w:ascii="Times New Roman" w:hAnsi="Times New Roman" w:cs="Times New Roman"/>
          <w:sz w:val="24"/>
          <w:szCs w:val="24"/>
        </w:rPr>
        <w:t xml:space="preserve"> </w:t>
      </w:r>
      <w:r w:rsidR="001A1EDC">
        <w:rPr>
          <w:rFonts w:ascii="Times New Roman" w:hAnsi="Times New Roman" w:cs="Times New Roman"/>
          <w:sz w:val="24"/>
          <w:szCs w:val="24"/>
        </w:rPr>
        <w:t xml:space="preserve">Нулевые значения отмечены </w:t>
      </w:r>
      <w:r w:rsidR="006D5FAF">
        <w:rPr>
          <w:rFonts w:ascii="Times New Roman" w:hAnsi="Times New Roman" w:cs="Times New Roman"/>
          <w:sz w:val="24"/>
          <w:szCs w:val="24"/>
        </w:rPr>
        <w:t xml:space="preserve">по </w:t>
      </w:r>
      <w:r w:rsidR="001A1EDC">
        <w:rPr>
          <w:rFonts w:ascii="Times New Roman" w:hAnsi="Times New Roman" w:cs="Times New Roman"/>
          <w:sz w:val="24"/>
          <w:szCs w:val="24"/>
        </w:rPr>
        <w:t>раздел</w:t>
      </w:r>
      <w:r w:rsidR="006D5FAF">
        <w:rPr>
          <w:rFonts w:ascii="Times New Roman" w:hAnsi="Times New Roman" w:cs="Times New Roman"/>
          <w:sz w:val="24"/>
          <w:szCs w:val="24"/>
        </w:rPr>
        <w:t>ам</w:t>
      </w:r>
      <w:r w:rsidR="001A1EDC">
        <w:rPr>
          <w:rFonts w:ascii="Times New Roman" w:hAnsi="Times New Roman" w:cs="Times New Roman"/>
          <w:sz w:val="24"/>
          <w:szCs w:val="24"/>
        </w:rPr>
        <w:t xml:space="preserve"> </w:t>
      </w:r>
      <w:r w:rsidR="004B1995">
        <w:rPr>
          <w:rFonts w:ascii="Times New Roman" w:hAnsi="Times New Roman" w:cs="Times New Roman"/>
          <w:sz w:val="24"/>
          <w:szCs w:val="24"/>
        </w:rPr>
        <w:t>«Охрана окружающей среды 0%»</w:t>
      </w:r>
      <w:r w:rsidR="00664858">
        <w:rPr>
          <w:rFonts w:ascii="Times New Roman" w:hAnsi="Times New Roman" w:cs="Times New Roman"/>
          <w:sz w:val="24"/>
          <w:szCs w:val="24"/>
        </w:rPr>
        <w:t>, «Обслуживание государственного долга 0%»</w:t>
      </w:r>
    </w:p>
    <w:p w:rsidR="00E12AB2" w:rsidRDefault="00E12AB2" w:rsidP="00E12AB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5B9">
        <w:rPr>
          <w:rFonts w:ascii="Times New Roman" w:hAnsi="Times New Roman" w:cs="Times New Roman"/>
          <w:sz w:val="24"/>
          <w:szCs w:val="24"/>
        </w:rPr>
        <w:t>Таблица 5.</w:t>
      </w:r>
      <w:r>
        <w:rPr>
          <w:rFonts w:ascii="Times New Roman" w:hAnsi="Times New Roman" w:cs="Times New Roman"/>
          <w:sz w:val="24"/>
          <w:szCs w:val="24"/>
        </w:rPr>
        <w:t xml:space="preserve"> Сравнение фактических показателей исполнения бюджета в 1 квартале 202</w:t>
      </w:r>
      <w:r w:rsidR="001767E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с аналогичными показателями 20</w:t>
      </w:r>
      <w:r w:rsidR="00912F7C">
        <w:rPr>
          <w:rFonts w:ascii="Times New Roman" w:hAnsi="Times New Roman" w:cs="Times New Roman"/>
          <w:sz w:val="24"/>
          <w:szCs w:val="24"/>
        </w:rPr>
        <w:t>2</w:t>
      </w:r>
      <w:r w:rsidR="001767E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1767E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tbl>
      <w:tblPr>
        <w:tblW w:w="92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840"/>
        <w:gridCol w:w="1134"/>
        <w:gridCol w:w="1134"/>
        <w:gridCol w:w="992"/>
        <w:gridCol w:w="992"/>
        <w:gridCol w:w="1132"/>
      </w:tblGrid>
      <w:tr w:rsidR="00E12AB2" w:rsidRPr="00F806D2" w:rsidTr="001044B9">
        <w:trPr>
          <w:trHeight w:val="20"/>
        </w:trPr>
        <w:tc>
          <w:tcPr>
            <w:tcW w:w="3840" w:type="dxa"/>
            <w:vMerge w:val="restar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E12AB2" w:rsidRPr="00F806D2" w:rsidRDefault="00E12AB2" w:rsidP="00104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6ED8">
              <w:rPr>
                <w:rFonts w:ascii="Times New Roman" w:hAnsi="Times New Roman" w:cs="Times New Roman"/>
                <w:b/>
                <w:bCs/>
              </w:rPr>
              <w:t>Н</w:t>
            </w:r>
            <w:r w:rsidRPr="00F806D2">
              <w:rPr>
                <w:rFonts w:ascii="Times New Roman" w:hAnsi="Times New Roman" w:cs="Times New Roman"/>
                <w:b/>
                <w:bCs/>
              </w:rPr>
              <w:t>аименование показателя</w:t>
            </w:r>
          </w:p>
        </w:tc>
        <w:tc>
          <w:tcPr>
            <w:tcW w:w="3260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2AB2" w:rsidRPr="00F806D2" w:rsidRDefault="00E12AB2" w:rsidP="00604A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06D2">
              <w:rPr>
                <w:rFonts w:ascii="Times New Roman" w:hAnsi="Times New Roman" w:cs="Times New Roman"/>
                <w:b/>
                <w:bCs/>
              </w:rPr>
              <w:t xml:space="preserve">Кассовое исполнение </w:t>
            </w:r>
            <w:r w:rsidR="00604A15">
              <w:rPr>
                <w:rFonts w:ascii="Times New Roman" w:hAnsi="Times New Roman" w:cs="Times New Roman"/>
                <w:b/>
                <w:bCs/>
              </w:rPr>
              <w:t>млн</w:t>
            </w:r>
            <w:r w:rsidRPr="00F806D2">
              <w:rPr>
                <w:rFonts w:ascii="Times New Roman" w:hAnsi="Times New Roman" w:cs="Times New Roman"/>
                <w:b/>
                <w:bCs/>
              </w:rPr>
              <w:t>. руб.</w:t>
            </w:r>
          </w:p>
        </w:tc>
        <w:tc>
          <w:tcPr>
            <w:tcW w:w="2124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2AB2" w:rsidRPr="00F806D2" w:rsidRDefault="00E12AB2" w:rsidP="001044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06D2">
              <w:rPr>
                <w:rFonts w:ascii="Times New Roman" w:hAnsi="Times New Roman" w:cs="Times New Roman"/>
                <w:b/>
                <w:bCs/>
              </w:rPr>
              <w:t>Изменение, %</w:t>
            </w:r>
          </w:p>
        </w:tc>
      </w:tr>
      <w:tr w:rsidR="001A1EDC" w:rsidRPr="00F806D2" w:rsidTr="001044B9">
        <w:trPr>
          <w:trHeight w:val="20"/>
        </w:trPr>
        <w:tc>
          <w:tcPr>
            <w:tcW w:w="3840" w:type="dxa"/>
            <w:vMerge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A1EDC" w:rsidRPr="00F806D2" w:rsidRDefault="001A1EDC" w:rsidP="001044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1EDC" w:rsidRPr="00F806D2" w:rsidRDefault="001A1EDC" w:rsidP="00946E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06D2">
              <w:rPr>
                <w:rFonts w:ascii="Times New Roman" w:hAnsi="Times New Roman" w:cs="Times New Roman"/>
                <w:b/>
                <w:bCs/>
              </w:rPr>
              <w:t>1 кв. 202</w:t>
            </w:r>
            <w:r w:rsidR="00946E68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1EDC" w:rsidRPr="00F806D2" w:rsidRDefault="001A1EDC" w:rsidP="00946E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06D2">
              <w:rPr>
                <w:rFonts w:ascii="Times New Roman" w:hAnsi="Times New Roman" w:cs="Times New Roman"/>
                <w:b/>
                <w:bCs/>
              </w:rPr>
              <w:t>1 кв. 202</w:t>
            </w:r>
            <w:r w:rsidR="00946E68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1EDC" w:rsidRPr="00F806D2" w:rsidRDefault="001A1EDC" w:rsidP="00946E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06D2">
              <w:rPr>
                <w:rFonts w:ascii="Times New Roman" w:hAnsi="Times New Roman" w:cs="Times New Roman"/>
                <w:b/>
                <w:bCs/>
              </w:rPr>
              <w:t>1 кв. 202</w:t>
            </w:r>
            <w:r w:rsidR="00946E68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1EDC" w:rsidRPr="00F806D2" w:rsidRDefault="001A1EDC" w:rsidP="00946E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06D2">
              <w:rPr>
                <w:rFonts w:ascii="Times New Roman" w:hAnsi="Times New Roman" w:cs="Times New Roman"/>
                <w:b/>
                <w:bCs/>
              </w:rPr>
              <w:t>202</w:t>
            </w:r>
            <w:r w:rsidR="00946E68">
              <w:rPr>
                <w:rFonts w:ascii="Times New Roman" w:hAnsi="Times New Roman" w:cs="Times New Roman"/>
                <w:b/>
                <w:bCs/>
              </w:rPr>
              <w:t>6</w:t>
            </w:r>
            <w:r w:rsidRPr="00F806D2">
              <w:rPr>
                <w:rFonts w:ascii="Times New Roman" w:hAnsi="Times New Roman" w:cs="Times New Roman"/>
                <w:b/>
                <w:bCs/>
              </w:rPr>
              <w:t>/20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946E68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1EDC" w:rsidRPr="00F806D2" w:rsidRDefault="001A1EDC" w:rsidP="00946E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06D2">
              <w:rPr>
                <w:rFonts w:ascii="Times New Roman" w:hAnsi="Times New Roman" w:cs="Times New Roman"/>
                <w:b/>
                <w:bCs/>
              </w:rPr>
              <w:t>202</w:t>
            </w:r>
            <w:r w:rsidR="00946E68">
              <w:rPr>
                <w:rFonts w:ascii="Times New Roman" w:hAnsi="Times New Roman" w:cs="Times New Roman"/>
                <w:b/>
                <w:bCs/>
              </w:rPr>
              <w:t>6</w:t>
            </w:r>
            <w:r w:rsidRPr="00F806D2">
              <w:rPr>
                <w:rFonts w:ascii="Times New Roman" w:hAnsi="Times New Roman" w:cs="Times New Roman"/>
                <w:b/>
                <w:bCs/>
              </w:rPr>
              <w:t>/20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946E68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1767EB" w:rsidRPr="00F806D2" w:rsidTr="001767EB">
        <w:trPr>
          <w:trHeight w:val="20"/>
        </w:trPr>
        <w:tc>
          <w:tcPr>
            <w:tcW w:w="384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767EB" w:rsidRPr="00F806D2" w:rsidRDefault="001767EB" w:rsidP="001044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6D2">
              <w:rPr>
                <w:rFonts w:ascii="Times New Roman" w:hAnsi="Times New Roman" w:cs="Times New Roman"/>
                <w:iCs/>
              </w:rPr>
              <w:t xml:space="preserve"> ОБЩЕГОСУДАРСТВЕННЫЕ ВОПРОСЫ                       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7EB" w:rsidRPr="00720B3D" w:rsidRDefault="001767EB" w:rsidP="000D2D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22,00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67EB" w:rsidRPr="00720B3D" w:rsidRDefault="001767EB" w:rsidP="000D2D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27,01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7EB" w:rsidRPr="00720B3D" w:rsidRDefault="001767EB" w:rsidP="00EF7F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31,45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7EB" w:rsidRPr="00EB1142" w:rsidRDefault="005F328C" w:rsidP="00104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116,4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7EB" w:rsidRPr="00EB1142" w:rsidRDefault="001D72AD" w:rsidP="00104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143,0</w:t>
            </w:r>
          </w:p>
        </w:tc>
      </w:tr>
      <w:tr w:rsidR="001767EB" w:rsidRPr="00F806D2" w:rsidTr="001A1EDC">
        <w:trPr>
          <w:trHeight w:val="20"/>
        </w:trPr>
        <w:tc>
          <w:tcPr>
            <w:tcW w:w="384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1767EB" w:rsidRPr="00F806D2" w:rsidRDefault="001767EB" w:rsidP="0028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НАЦИОНАЛЬНАЯ ОБОРОНА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7EB" w:rsidRDefault="001767EB" w:rsidP="000D2D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0,14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7EB" w:rsidRDefault="001767EB" w:rsidP="000D2D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0,26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7EB" w:rsidRDefault="001767EB" w:rsidP="00EF7F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0,29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7EB" w:rsidRPr="00EB1142" w:rsidRDefault="001D72AD" w:rsidP="002860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111,5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7EB" w:rsidRPr="00EB1142" w:rsidRDefault="001D72AD" w:rsidP="002860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207,1</w:t>
            </w:r>
          </w:p>
        </w:tc>
      </w:tr>
      <w:tr w:rsidR="001767EB" w:rsidRPr="00F806D2" w:rsidTr="00F33762">
        <w:trPr>
          <w:trHeight w:val="20"/>
        </w:trPr>
        <w:tc>
          <w:tcPr>
            <w:tcW w:w="384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767EB" w:rsidRPr="00F806D2" w:rsidRDefault="001767EB" w:rsidP="001044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6D2">
              <w:rPr>
                <w:rFonts w:ascii="Times New Roman" w:hAnsi="Times New Roman" w:cs="Times New Roman"/>
                <w:iCs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7EB" w:rsidRPr="00720B3D" w:rsidRDefault="001767EB" w:rsidP="000D2D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0,47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67EB" w:rsidRPr="00720B3D" w:rsidRDefault="001767EB" w:rsidP="000D2D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0,47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7EB" w:rsidRPr="00720B3D" w:rsidRDefault="001767EB" w:rsidP="00EF7F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0,39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7EB" w:rsidRPr="00EB1142" w:rsidRDefault="001D72AD" w:rsidP="00104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83,0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7EB" w:rsidRPr="00EB1142" w:rsidRDefault="001D72AD" w:rsidP="00104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83,0</w:t>
            </w:r>
          </w:p>
        </w:tc>
      </w:tr>
      <w:tr w:rsidR="001767EB" w:rsidRPr="00F806D2" w:rsidTr="00F33762">
        <w:trPr>
          <w:trHeight w:val="20"/>
        </w:trPr>
        <w:tc>
          <w:tcPr>
            <w:tcW w:w="384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767EB" w:rsidRPr="00F806D2" w:rsidRDefault="001767EB" w:rsidP="001044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6D2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7EB" w:rsidRPr="00720B3D" w:rsidRDefault="001767EB" w:rsidP="000D2D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9,52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67EB" w:rsidRPr="00720B3D" w:rsidRDefault="001767EB" w:rsidP="000D2D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5,21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7EB" w:rsidRPr="00720B3D" w:rsidRDefault="001767EB" w:rsidP="00EF7F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4,29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7EB" w:rsidRPr="00EB1142" w:rsidRDefault="001D72AD" w:rsidP="00104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82,3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7EB" w:rsidRPr="00EB1142" w:rsidRDefault="001D72AD" w:rsidP="00104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45,1</w:t>
            </w:r>
          </w:p>
        </w:tc>
      </w:tr>
      <w:tr w:rsidR="001767EB" w:rsidRPr="00F806D2" w:rsidTr="00F33762">
        <w:trPr>
          <w:trHeight w:val="20"/>
        </w:trPr>
        <w:tc>
          <w:tcPr>
            <w:tcW w:w="384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767EB" w:rsidRPr="00F806D2" w:rsidRDefault="001767EB" w:rsidP="001044B9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06D2">
              <w:rPr>
                <w:rFonts w:ascii="Times New Roman" w:hAnsi="Times New Roman" w:cs="Times New Roman"/>
              </w:rPr>
              <w:lastRenderedPageBreak/>
              <w:t>ЖИЛИЩНО-КОММУНАЛЬНОЕ ХОЗЯЙСТВО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7EB" w:rsidRPr="00720B3D" w:rsidRDefault="001767EB" w:rsidP="000D2D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67EB" w:rsidRPr="00720B3D" w:rsidRDefault="001767EB" w:rsidP="000D2D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4,18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7EB" w:rsidRPr="00720B3D" w:rsidRDefault="001767EB" w:rsidP="00EF7F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0,57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7EB" w:rsidRPr="00EB1142" w:rsidRDefault="001D72AD" w:rsidP="00104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13,6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7EB" w:rsidRPr="00EB1142" w:rsidRDefault="001D72AD" w:rsidP="00104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114,0</w:t>
            </w:r>
          </w:p>
        </w:tc>
      </w:tr>
      <w:tr w:rsidR="001767EB" w:rsidRPr="00F806D2" w:rsidTr="00F33762">
        <w:trPr>
          <w:trHeight w:val="20"/>
        </w:trPr>
        <w:tc>
          <w:tcPr>
            <w:tcW w:w="384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767EB" w:rsidRPr="00720B3D" w:rsidRDefault="001767EB" w:rsidP="009603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ОХРАНА ОКРУЖАЮЩЕЙ СРЕДЫ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7EB" w:rsidRDefault="001767EB" w:rsidP="000D2D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67EB" w:rsidRDefault="001767EB" w:rsidP="000D2D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7EB" w:rsidRDefault="001767EB" w:rsidP="00EF7F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7EB" w:rsidRPr="00720B3D" w:rsidRDefault="001D72AD" w:rsidP="00960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7EB" w:rsidRPr="00EB1142" w:rsidRDefault="001D72AD" w:rsidP="00104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767EB" w:rsidRPr="00F806D2" w:rsidTr="00F33762">
        <w:trPr>
          <w:trHeight w:val="20"/>
        </w:trPr>
        <w:tc>
          <w:tcPr>
            <w:tcW w:w="384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767EB" w:rsidRPr="00F806D2" w:rsidRDefault="001767EB" w:rsidP="001044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6D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7EB" w:rsidRPr="00720B3D" w:rsidRDefault="001767EB" w:rsidP="000D2D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78,91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67EB" w:rsidRPr="00720B3D" w:rsidRDefault="001767EB" w:rsidP="000D2D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91,67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7EB" w:rsidRPr="00720B3D" w:rsidRDefault="001767EB" w:rsidP="00EF7F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100,32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7EB" w:rsidRPr="00EB1142" w:rsidRDefault="001D72AD" w:rsidP="00104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109,4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7EB" w:rsidRPr="00EB1142" w:rsidRDefault="001D72AD" w:rsidP="00104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127,1</w:t>
            </w:r>
          </w:p>
        </w:tc>
      </w:tr>
      <w:tr w:rsidR="001767EB" w:rsidRPr="00F806D2" w:rsidTr="00F33762">
        <w:trPr>
          <w:trHeight w:val="20"/>
        </w:trPr>
        <w:tc>
          <w:tcPr>
            <w:tcW w:w="384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767EB" w:rsidRPr="00F806D2" w:rsidRDefault="001767EB" w:rsidP="001044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6D2">
              <w:rPr>
                <w:rFonts w:ascii="Times New Roman" w:hAnsi="Times New Roman" w:cs="Times New Roman"/>
                <w:iCs/>
              </w:rPr>
              <w:t>КУЛЬТУРА И КИНЕМАТОГРАФИЯ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7EB" w:rsidRPr="00720B3D" w:rsidRDefault="001767EB" w:rsidP="000D2D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11,91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67EB" w:rsidRPr="00720B3D" w:rsidRDefault="001767EB" w:rsidP="000D2D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12,34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7EB" w:rsidRPr="00720B3D" w:rsidRDefault="001767EB" w:rsidP="00EF7F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16,0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7EB" w:rsidRPr="00EB1142" w:rsidRDefault="001D72AD" w:rsidP="00104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129,7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7EB" w:rsidRPr="00EB1142" w:rsidRDefault="001D72AD" w:rsidP="00104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134,3</w:t>
            </w:r>
          </w:p>
        </w:tc>
      </w:tr>
      <w:tr w:rsidR="001767EB" w:rsidRPr="00F806D2" w:rsidTr="00F33762">
        <w:trPr>
          <w:trHeight w:val="20"/>
        </w:trPr>
        <w:tc>
          <w:tcPr>
            <w:tcW w:w="384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767EB" w:rsidRPr="00F806D2" w:rsidRDefault="001767EB" w:rsidP="001044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6D2">
              <w:rPr>
                <w:rFonts w:ascii="Times New Roman" w:hAnsi="Times New Roman" w:cs="Times New Roman"/>
                <w:iCs/>
              </w:rPr>
              <w:t>СОЦИАЛЬНАЯ ПОЛИТИКА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7EB" w:rsidRPr="00720B3D" w:rsidRDefault="001767EB" w:rsidP="000D2D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1,56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67EB" w:rsidRPr="00720B3D" w:rsidRDefault="001767EB" w:rsidP="000D2D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2,0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7EB" w:rsidRPr="00720B3D" w:rsidRDefault="001767EB" w:rsidP="00EF7F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1,94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7EB" w:rsidRPr="00EB1142" w:rsidRDefault="001D72AD" w:rsidP="00104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97,0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7EB" w:rsidRPr="00EB1142" w:rsidRDefault="001D72AD" w:rsidP="00104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124,4</w:t>
            </w:r>
          </w:p>
        </w:tc>
      </w:tr>
      <w:tr w:rsidR="001767EB" w:rsidRPr="00F806D2" w:rsidTr="00F33762">
        <w:trPr>
          <w:trHeight w:val="20"/>
        </w:trPr>
        <w:tc>
          <w:tcPr>
            <w:tcW w:w="384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767EB" w:rsidRPr="00F806D2" w:rsidRDefault="001767EB" w:rsidP="001044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6D2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7EB" w:rsidRPr="00720B3D" w:rsidRDefault="001767EB" w:rsidP="000D2D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0,85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67EB" w:rsidRPr="00720B3D" w:rsidRDefault="001767EB" w:rsidP="000D2D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0,93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7EB" w:rsidRPr="00720B3D" w:rsidRDefault="001767EB" w:rsidP="00EF7F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0,50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7EB" w:rsidRPr="00EB1142" w:rsidRDefault="001D72AD" w:rsidP="00F87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53,8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7EB" w:rsidRPr="00EB1142" w:rsidRDefault="001D72AD" w:rsidP="00104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58,8</w:t>
            </w:r>
          </w:p>
        </w:tc>
      </w:tr>
      <w:tr w:rsidR="00946E68" w:rsidRPr="00F806D2" w:rsidTr="00CE324B">
        <w:trPr>
          <w:trHeight w:val="20"/>
        </w:trPr>
        <w:tc>
          <w:tcPr>
            <w:tcW w:w="384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46E68" w:rsidRPr="00F806D2" w:rsidRDefault="00946E68" w:rsidP="001044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6D2">
              <w:rPr>
                <w:rFonts w:ascii="Times New Roman" w:hAnsi="Times New Roman" w:cs="Times New Roman"/>
              </w:rPr>
              <w:t>ОБСЛУЖИВАНИЕ ГОСУДАРСТВЕННОГО И МУНИЦИПАЛЬНОГО ДОЛГА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6E68" w:rsidRPr="00720B3D" w:rsidRDefault="00946E68" w:rsidP="000D2D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6E68" w:rsidRPr="00720B3D" w:rsidRDefault="00946E68" w:rsidP="000D2D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6E68" w:rsidRPr="00720B3D" w:rsidRDefault="00946E68" w:rsidP="00286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6E68" w:rsidRPr="00EB1142" w:rsidRDefault="00946E68" w:rsidP="00104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6E68" w:rsidRPr="00EB1142" w:rsidRDefault="00946E68" w:rsidP="00F87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46E68" w:rsidRPr="00F806D2" w:rsidTr="00CE324B">
        <w:trPr>
          <w:trHeight w:val="20"/>
        </w:trPr>
        <w:tc>
          <w:tcPr>
            <w:tcW w:w="384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46E68" w:rsidRPr="00720B3D" w:rsidRDefault="00946E68" w:rsidP="009603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6E68" w:rsidRPr="00720B3D" w:rsidRDefault="00946E68" w:rsidP="000D2D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6E68" w:rsidRPr="00720B3D" w:rsidRDefault="00946E68" w:rsidP="000D2D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6E68" w:rsidRPr="00720B3D" w:rsidRDefault="00946E68" w:rsidP="00286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6E68" w:rsidRPr="00720B3D" w:rsidRDefault="00946E68" w:rsidP="00960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6E68" w:rsidRDefault="00946E68" w:rsidP="00104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46E68" w:rsidRPr="00EB1142" w:rsidTr="00F33762">
        <w:trPr>
          <w:trHeight w:val="20"/>
        </w:trPr>
        <w:tc>
          <w:tcPr>
            <w:tcW w:w="384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46E68" w:rsidRPr="00EB1142" w:rsidRDefault="00946E68" w:rsidP="001044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1142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6E68" w:rsidRPr="00720B3D" w:rsidRDefault="00946E68" w:rsidP="000D2D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125,86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6E68" w:rsidRPr="00720B3D" w:rsidRDefault="00946E68" w:rsidP="000D2D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144,07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6E68" w:rsidRPr="00720B3D" w:rsidRDefault="001767EB" w:rsidP="00286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155,76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6E68" w:rsidRPr="00EB1142" w:rsidRDefault="001767EB" w:rsidP="00F87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108,1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6E68" w:rsidRPr="00EB1142" w:rsidRDefault="001767EB" w:rsidP="00104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123,8</w:t>
            </w:r>
          </w:p>
        </w:tc>
      </w:tr>
    </w:tbl>
    <w:p w:rsidR="002F4BA4" w:rsidRDefault="00E12AB2" w:rsidP="002F4BA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F2B">
        <w:rPr>
          <w:rFonts w:ascii="Times New Roman" w:hAnsi="Times New Roman" w:cs="Times New Roman"/>
          <w:sz w:val="24"/>
          <w:szCs w:val="24"/>
        </w:rPr>
        <w:t>В 1 квартале</w:t>
      </w:r>
      <w:r w:rsidRPr="00AA68E8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F328C">
        <w:rPr>
          <w:rFonts w:ascii="Times New Roman" w:hAnsi="Times New Roman" w:cs="Times New Roman"/>
          <w:sz w:val="24"/>
          <w:szCs w:val="24"/>
        </w:rPr>
        <w:t>6</w:t>
      </w:r>
      <w:r w:rsidRPr="00AA68E8">
        <w:rPr>
          <w:rFonts w:ascii="Times New Roman" w:hAnsi="Times New Roman" w:cs="Times New Roman"/>
          <w:sz w:val="24"/>
          <w:szCs w:val="24"/>
        </w:rPr>
        <w:t xml:space="preserve"> года отмечено </w:t>
      </w:r>
      <w:r w:rsidR="002860FC">
        <w:rPr>
          <w:rFonts w:ascii="Times New Roman" w:hAnsi="Times New Roman" w:cs="Times New Roman"/>
          <w:sz w:val="24"/>
          <w:szCs w:val="24"/>
        </w:rPr>
        <w:t>увеличение</w:t>
      </w:r>
      <w:r w:rsidRPr="00AA68E8">
        <w:rPr>
          <w:rFonts w:ascii="Times New Roman" w:hAnsi="Times New Roman" w:cs="Times New Roman"/>
          <w:sz w:val="24"/>
          <w:szCs w:val="24"/>
        </w:rPr>
        <w:t xml:space="preserve"> расходов </w:t>
      </w:r>
      <w:r>
        <w:rPr>
          <w:rFonts w:ascii="Times New Roman" w:hAnsi="Times New Roman" w:cs="Times New Roman"/>
          <w:sz w:val="24"/>
          <w:szCs w:val="24"/>
        </w:rPr>
        <w:t>относительно аналогичного периода 202</w:t>
      </w:r>
      <w:r w:rsidR="005F328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по разделам </w:t>
      </w:r>
      <w:r w:rsidR="001D72AD">
        <w:rPr>
          <w:rFonts w:ascii="Times New Roman" w:hAnsi="Times New Roman" w:cs="Times New Roman"/>
          <w:sz w:val="24"/>
          <w:szCs w:val="24"/>
        </w:rPr>
        <w:t xml:space="preserve">«Общегосударственные вопросы» (на 16,4%), </w:t>
      </w:r>
      <w:r w:rsidR="002F4BA4">
        <w:rPr>
          <w:rFonts w:ascii="Times New Roman" w:hAnsi="Times New Roman" w:cs="Times New Roman"/>
          <w:sz w:val="24"/>
          <w:szCs w:val="24"/>
        </w:rPr>
        <w:t xml:space="preserve">«Национальная оборона» (на </w:t>
      </w:r>
      <w:r w:rsidR="003B69FE">
        <w:rPr>
          <w:rFonts w:ascii="Times New Roman" w:hAnsi="Times New Roman" w:cs="Times New Roman"/>
          <w:sz w:val="24"/>
          <w:szCs w:val="24"/>
        </w:rPr>
        <w:t>11,5</w:t>
      </w:r>
      <w:r w:rsidR="002F4BA4">
        <w:rPr>
          <w:rFonts w:ascii="Times New Roman" w:hAnsi="Times New Roman" w:cs="Times New Roman"/>
          <w:sz w:val="24"/>
          <w:szCs w:val="24"/>
        </w:rPr>
        <w:t xml:space="preserve">%), </w:t>
      </w:r>
      <w:r w:rsidR="003B69FE">
        <w:rPr>
          <w:rFonts w:ascii="Times New Roman" w:hAnsi="Times New Roman" w:cs="Times New Roman"/>
          <w:sz w:val="24"/>
          <w:szCs w:val="24"/>
        </w:rPr>
        <w:t xml:space="preserve">«Культура, и кинематография» (на 29,7%).  </w:t>
      </w:r>
      <w:r w:rsidR="002F4BA4">
        <w:rPr>
          <w:rFonts w:ascii="Times New Roman" w:hAnsi="Times New Roman" w:cs="Times New Roman"/>
          <w:sz w:val="24"/>
          <w:szCs w:val="24"/>
        </w:rPr>
        <w:t xml:space="preserve">«Образование» (на </w:t>
      </w:r>
      <w:r w:rsidR="003B69FE">
        <w:rPr>
          <w:rFonts w:ascii="Times New Roman" w:hAnsi="Times New Roman" w:cs="Times New Roman"/>
          <w:sz w:val="24"/>
          <w:szCs w:val="24"/>
        </w:rPr>
        <w:t>9,4</w:t>
      </w:r>
      <w:r w:rsidR="002F4BA4">
        <w:rPr>
          <w:rFonts w:ascii="Times New Roman" w:hAnsi="Times New Roman" w:cs="Times New Roman"/>
          <w:sz w:val="24"/>
          <w:szCs w:val="24"/>
        </w:rPr>
        <w:t>%)</w:t>
      </w:r>
      <w:r w:rsidR="003B69FE">
        <w:rPr>
          <w:rFonts w:ascii="Times New Roman" w:hAnsi="Times New Roman" w:cs="Times New Roman"/>
          <w:sz w:val="24"/>
          <w:szCs w:val="24"/>
        </w:rPr>
        <w:t>.</w:t>
      </w:r>
    </w:p>
    <w:p w:rsidR="002F4BA4" w:rsidRDefault="003B69FE" w:rsidP="00B7566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Разделы</w:t>
      </w:r>
      <w:r w:rsidR="00621F2B">
        <w:rPr>
          <w:rFonts w:ascii="Times New Roman" w:hAnsi="Times New Roman" w:cs="Times New Roman"/>
          <w:sz w:val="24"/>
          <w:szCs w:val="24"/>
        </w:rPr>
        <w:t xml:space="preserve"> </w:t>
      </w:r>
      <w:r w:rsidR="007B6D55">
        <w:rPr>
          <w:rFonts w:ascii="Times New Roman" w:hAnsi="Times New Roman" w:cs="Times New Roman"/>
          <w:sz w:val="24"/>
          <w:szCs w:val="24"/>
        </w:rPr>
        <w:t>«Охрана окружающей среды</w:t>
      </w:r>
      <w:r w:rsidR="008F6CA0">
        <w:rPr>
          <w:rFonts w:ascii="Times New Roman" w:hAnsi="Times New Roman" w:cs="Times New Roman"/>
          <w:sz w:val="24"/>
          <w:szCs w:val="24"/>
        </w:rPr>
        <w:t>»</w:t>
      </w:r>
      <w:r w:rsidR="00621F2B">
        <w:rPr>
          <w:rFonts w:ascii="Times New Roman" w:hAnsi="Times New Roman" w:cs="Times New Roman"/>
          <w:sz w:val="24"/>
          <w:szCs w:val="24"/>
        </w:rPr>
        <w:t>, «Обслуживание государственного и муниципального долга», «Межбюджетные трансферты общего характера бюджетам бюджетной системы Российской Федерации»</w:t>
      </w:r>
      <w:r w:rsidR="008F6CA0">
        <w:rPr>
          <w:rFonts w:ascii="Times New Roman" w:hAnsi="Times New Roman" w:cs="Times New Roman"/>
          <w:sz w:val="24"/>
          <w:szCs w:val="24"/>
        </w:rPr>
        <w:t xml:space="preserve"> задействованы на 0%</w:t>
      </w:r>
      <w:r w:rsidR="00E12AB2">
        <w:rPr>
          <w:rFonts w:ascii="Times New Roman" w:hAnsi="Times New Roman" w:cs="Times New Roman"/>
          <w:sz w:val="24"/>
          <w:szCs w:val="24"/>
        </w:rPr>
        <w:t xml:space="preserve">. </w:t>
      </w:r>
      <w:r w:rsidR="00D30262">
        <w:rPr>
          <w:rFonts w:ascii="Times New Roman" w:hAnsi="Times New Roman" w:cs="Times New Roman"/>
          <w:sz w:val="24"/>
          <w:szCs w:val="24"/>
        </w:rPr>
        <w:t>Значительное снижение отмечено по раздел</w:t>
      </w:r>
      <w:r w:rsidR="00B75661">
        <w:rPr>
          <w:rFonts w:ascii="Times New Roman" w:hAnsi="Times New Roman" w:cs="Times New Roman"/>
          <w:sz w:val="24"/>
          <w:szCs w:val="24"/>
        </w:rPr>
        <w:t>у</w:t>
      </w:r>
      <w:r w:rsidR="00D30262">
        <w:rPr>
          <w:rFonts w:ascii="Times New Roman" w:hAnsi="Times New Roman" w:cs="Times New Roman"/>
          <w:sz w:val="24"/>
          <w:szCs w:val="24"/>
        </w:rPr>
        <w:t xml:space="preserve"> </w:t>
      </w:r>
      <w:r w:rsidR="001D72A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D72AD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="001D72AD">
        <w:rPr>
          <w:rFonts w:ascii="Times New Roman" w:hAnsi="Times New Roman" w:cs="Times New Roman"/>
          <w:sz w:val="24"/>
          <w:szCs w:val="24"/>
        </w:rPr>
        <w:t xml:space="preserve"> - коммунальное хозяйство» (на 86,4%), «Физическая культура и спорт (на 46,2%), «Национальная экономика» (на 17,7%),</w:t>
      </w:r>
      <w:r>
        <w:rPr>
          <w:rFonts w:ascii="Times New Roman" w:hAnsi="Times New Roman" w:cs="Times New Roman"/>
          <w:sz w:val="24"/>
          <w:szCs w:val="24"/>
        </w:rPr>
        <w:t xml:space="preserve"> «Национальная безопасность и правоохранительная деятельность»</w:t>
      </w:r>
      <w:r w:rsidRPr="003B6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(на 17,0%), «Социальная политика» (на 3,0%)</w:t>
      </w:r>
      <w:r w:rsidR="00B75661">
        <w:rPr>
          <w:rFonts w:ascii="Times New Roman" w:hAnsi="Times New Roman" w:cs="Times New Roman"/>
          <w:sz w:val="24"/>
          <w:szCs w:val="24"/>
        </w:rPr>
        <w:t>.</w:t>
      </w:r>
      <w:r w:rsidR="002F4B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3B69FE" w:rsidRDefault="003B69FE" w:rsidP="003B69F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уровню относительно аналогичного периода 2024 года увеличение расходов по разделам «Общегосударственные вопросы» (на 43,0%), «Национальная оборона» (на 107,1%), «Культура, и кинематография» (на 34,3%), «Образование» (на 27,1%), «Социальная политика» (на </w:t>
      </w:r>
      <w:r w:rsidR="00DC0723">
        <w:rPr>
          <w:rFonts w:ascii="Times New Roman" w:hAnsi="Times New Roman" w:cs="Times New Roman"/>
          <w:sz w:val="24"/>
          <w:szCs w:val="24"/>
        </w:rPr>
        <w:t>24,4</w:t>
      </w:r>
      <w:r>
        <w:rPr>
          <w:rFonts w:ascii="Times New Roman" w:hAnsi="Times New Roman" w:cs="Times New Roman"/>
          <w:sz w:val="24"/>
          <w:szCs w:val="24"/>
        </w:rPr>
        <w:t>%)</w:t>
      </w:r>
      <w:r w:rsidR="00DC0723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="00DC0723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="00DC0723">
        <w:rPr>
          <w:rFonts w:ascii="Times New Roman" w:hAnsi="Times New Roman" w:cs="Times New Roman"/>
          <w:sz w:val="24"/>
          <w:szCs w:val="24"/>
        </w:rPr>
        <w:t xml:space="preserve"> - коммунальное хозяйство» (</w:t>
      </w:r>
      <w:proofErr w:type="gramStart"/>
      <w:r w:rsidR="00DC072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DC0723">
        <w:rPr>
          <w:rFonts w:ascii="Times New Roman" w:hAnsi="Times New Roman" w:cs="Times New Roman"/>
          <w:sz w:val="24"/>
          <w:szCs w:val="24"/>
        </w:rPr>
        <w:t xml:space="preserve"> 14,0%),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0723" w:rsidRDefault="005823B1" w:rsidP="00E12AB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уровню относительно аналогичного периода 202</w:t>
      </w:r>
      <w:r w:rsidR="005F328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снижение отмечено по раздел</w:t>
      </w:r>
      <w:r w:rsidR="004637A9">
        <w:rPr>
          <w:rFonts w:ascii="Times New Roman" w:hAnsi="Times New Roman" w:cs="Times New Roman"/>
          <w:sz w:val="24"/>
          <w:szCs w:val="24"/>
        </w:rPr>
        <w:t>у</w:t>
      </w:r>
      <w:r w:rsidR="00B75661">
        <w:rPr>
          <w:rFonts w:ascii="Times New Roman" w:hAnsi="Times New Roman" w:cs="Times New Roman"/>
          <w:sz w:val="24"/>
          <w:szCs w:val="24"/>
        </w:rPr>
        <w:t xml:space="preserve"> </w:t>
      </w:r>
      <w:r w:rsidR="00DC0723">
        <w:rPr>
          <w:rFonts w:ascii="Times New Roman" w:hAnsi="Times New Roman" w:cs="Times New Roman"/>
          <w:sz w:val="24"/>
          <w:szCs w:val="24"/>
        </w:rPr>
        <w:t xml:space="preserve">«Физическая культура и спорт (на 41,2%), «Национальная экономика» (на 54,9%), </w:t>
      </w:r>
      <w:r w:rsidR="00B75661">
        <w:rPr>
          <w:rFonts w:ascii="Times New Roman" w:hAnsi="Times New Roman" w:cs="Times New Roman"/>
          <w:sz w:val="24"/>
          <w:szCs w:val="24"/>
        </w:rPr>
        <w:t>«Национальная безопасность правоохранительная деятельность»</w:t>
      </w:r>
      <w:r w:rsidR="00B75661" w:rsidRPr="00B75661">
        <w:rPr>
          <w:rFonts w:ascii="Times New Roman" w:hAnsi="Times New Roman" w:cs="Times New Roman"/>
          <w:sz w:val="24"/>
          <w:szCs w:val="24"/>
        </w:rPr>
        <w:t xml:space="preserve"> </w:t>
      </w:r>
      <w:r w:rsidR="00B75661">
        <w:rPr>
          <w:rFonts w:ascii="Times New Roman" w:hAnsi="Times New Roman" w:cs="Times New Roman"/>
          <w:sz w:val="24"/>
          <w:szCs w:val="24"/>
        </w:rPr>
        <w:t xml:space="preserve">(на </w:t>
      </w:r>
      <w:r w:rsidR="00DC0723">
        <w:rPr>
          <w:rFonts w:ascii="Times New Roman" w:hAnsi="Times New Roman" w:cs="Times New Roman"/>
          <w:sz w:val="24"/>
          <w:szCs w:val="24"/>
        </w:rPr>
        <w:t>1</w:t>
      </w:r>
      <w:r w:rsidR="00B75661">
        <w:rPr>
          <w:rFonts w:ascii="Times New Roman" w:hAnsi="Times New Roman" w:cs="Times New Roman"/>
          <w:sz w:val="24"/>
          <w:szCs w:val="24"/>
        </w:rPr>
        <w:t>7,</w:t>
      </w:r>
      <w:r w:rsidR="00DC0723">
        <w:rPr>
          <w:rFonts w:ascii="Times New Roman" w:hAnsi="Times New Roman" w:cs="Times New Roman"/>
          <w:sz w:val="24"/>
          <w:szCs w:val="24"/>
        </w:rPr>
        <w:t>0</w:t>
      </w:r>
      <w:r w:rsidR="00B75661">
        <w:rPr>
          <w:rFonts w:ascii="Times New Roman" w:hAnsi="Times New Roman" w:cs="Times New Roman"/>
          <w:sz w:val="24"/>
          <w:szCs w:val="24"/>
        </w:rPr>
        <w:t>%)</w:t>
      </w:r>
      <w:r w:rsidR="00DC0723">
        <w:rPr>
          <w:rFonts w:ascii="Times New Roman" w:hAnsi="Times New Roman" w:cs="Times New Roman"/>
          <w:sz w:val="24"/>
          <w:szCs w:val="24"/>
        </w:rPr>
        <w:t>.</w:t>
      </w:r>
    </w:p>
    <w:p w:rsidR="00E12AB2" w:rsidRDefault="00B75661" w:rsidP="00E12AB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7A9">
        <w:rPr>
          <w:rFonts w:ascii="Times New Roman" w:hAnsi="Times New Roman" w:cs="Times New Roman"/>
          <w:sz w:val="24"/>
          <w:szCs w:val="24"/>
        </w:rPr>
        <w:t xml:space="preserve">«Охрана окружающей среды», «Обслуживание государственного и муниципального долга», «Межбюджетные трансферты общего характера бюджетам бюджетной системы Российской Федерации» задействованы на 0%. </w:t>
      </w:r>
      <w:r w:rsidR="00E12AB2">
        <w:rPr>
          <w:rFonts w:ascii="Times New Roman" w:hAnsi="Times New Roman" w:cs="Times New Roman"/>
          <w:sz w:val="24"/>
          <w:szCs w:val="24"/>
        </w:rPr>
        <w:t xml:space="preserve">Расходы на обслуживание муниципального долга </w:t>
      </w:r>
      <w:r w:rsidR="00642EF8">
        <w:rPr>
          <w:rFonts w:ascii="Times New Roman" w:hAnsi="Times New Roman" w:cs="Times New Roman"/>
          <w:sz w:val="24"/>
          <w:szCs w:val="24"/>
        </w:rPr>
        <w:t>снизились</w:t>
      </w:r>
      <w:r w:rsidR="00E12AB2">
        <w:rPr>
          <w:rFonts w:ascii="Times New Roman" w:hAnsi="Times New Roman" w:cs="Times New Roman"/>
          <w:sz w:val="24"/>
          <w:szCs w:val="24"/>
        </w:rPr>
        <w:t xml:space="preserve">, что является </w:t>
      </w:r>
      <w:r w:rsidR="00642EF8">
        <w:rPr>
          <w:rFonts w:ascii="Times New Roman" w:hAnsi="Times New Roman" w:cs="Times New Roman"/>
          <w:sz w:val="24"/>
          <w:szCs w:val="24"/>
        </w:rPr>
        <w:t>положительным фактором</w:t>
      </w:r>
      <w:r w:rsidR="00E12AB2">
        <w:rPr>
          <w:rFonts w:ascii="Times New Roman" w:hAnsi="Times New Roman" w:cs="Times New Roman"/>
          <w:sz w:val="24"/>
          <w:szCs w:val="24"/>
        </w:rPr>
        <w:t>.</w:t>
      </w:r>
    </w:p>
    <w:p w:rsidR="00E12AB2" w:rsidRDefault="00E12AB2" w:rsidP="00E12AB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DE8">
        <w:rPr>
          <w:rFonts w:ascii="Times New Roman" w:hAnsi="Times New Roman" w:cs="Times New Roman"/>
          <w:sz w:val="24"/>
          <w:szCs w:val="24"/>
        </w:rPr>
        <w:t>Таблица 6</w:t>
      </w:r>
      <w:r w:rsidRPr="00752E30">
        <w:rPr>
          <w:rFonts w:ascii="Times New Roman" w:hAnsi="Times New Roman" w:cs="Times New Roman"/>
          <w:sz w:val="24"/>
          <w:szCs w:val="24"/>
        </w:rPr>
        <w:t>. Исполнение расходов бюджета в разрезе муниципальных программ.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1276"/>
        <w:gridCol w:w="1276"/>
        <w:gridCol w:w="1275"/>
        <w:gridCol w:w="993"/>
      </w:tblGrid>
      <w:tr w:rsidR="00E12AB2" w:rsidRPr="000F274F" w:rsidTr="001044B9">
        <w:trPr>
          <w:trHeight w:val="20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E12AB2" w:rsidRPr="000F274F" w:rsidRDefault="00E12AB2" w:rsidP="0010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F27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Наименование муниципальной программы 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12AB2" w:rsidRPr="000F274F" w:rsidRDefault="00E12AB2" w:rsidP="008F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F27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план, </w:t>
            </w:r>
            <w:r w:rsidR="008F6CA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млн</w:t>
            </w:r>
            <w:r w:rsidRPr="000F27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 руб.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E12AB2" w:rsidRPr="000F274F" w:rsidRDefault="00E12AB2" w:rsidP="0010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F27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исполнение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E12AB2" w:rsidRPr="000F274F" w:rsidRDefault="00E12AB2" w:rsidP="0094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F27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</w:t>
            </w:r>
            <w:r w:rsidR="00946E6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  <w:r w:rsidRPr="000F27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/ 202</w:t>
            </w:r>
            <w:r w:rsidR="00946E6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  <w:r w:rsidRPr="000F27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</w:tr>
      <w:tr w:rsidR="00E12AB2" w:rsidRPr="000F274F" w:rsidTr="001044B9">
        <w:trPr>
          <w:trHeight w:val="20"/>
        </w:trPr>
        <w:tc>
          <w:tcPr>
            <w:tcW w:w="4551" w:type="dxa"/>
            <w:vMerge/>
            <w:shd w:val="clear" w:color="auto" w:fill="auto"/>
            <w:vAlign w:val="center"/>
          </w:tcPr>
          <w:p w:rsidR="00E12AB2" w:rsidRPr="000F274F" w:rsidRDefault="00E12AB2" w:rsidP="0010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12AB2" w:rsidRPr="000F274F" w:rsidRDefault="00E12AB2" w:rsidP="0010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12AB2" w:rsidRPr="000F274F" w:rsidRDefault="008F6CA0" w:rsidP="0010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млн</w:t>
            </w:r>
            <w:r w:rsidR="00E12AB2" w:rsidRPr="000F27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 руб.</w:t>
            </w:r>
          </w:p>
        </w:tc>
        <w:tc>
          <w:tcPr>
            <w:tcW w:w="1275" w:type="dxa"/>
            <w:vAlign w:val="center"/>
          </w:tcPr>
          <w:p w:rsidR="00E12AB2" w:rsidRPr="000F274F" w:rsidRDefault="00E12AB2" w:rsidP="0010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F27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12AB2" w:rsidRPr="000F274F" w:rsidRDefault="00E12AB2" w:rsidP="0010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FA6158" w:rsidRPr="000F274F" w:rsidTr="005E466E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FA6158" w:rsidRPr="000F274F" w:rsidRDefault="00FA6158" w:rsidP="000A5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27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"Развитие образования "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A6158" w:rsidRPr="000F274F" w:rsidRDefault="00FA6158" w:rsidP="00DC0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DC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A6158" w:rsidRPr="000F274F" w:rsidRDefault="00FA6158" w:rsidP="00DC0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DC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9,29</w:t>
            </w:r>
          </w:p>
        </w:tc>
        <w:tc>
          <w:tcPr>
            <w:tcW w:w="1275" w:type="dxa"/>
            <w:vAlign w:val="center"/>
          </w:tcPr>
          <w:p w:rsidR="00FA6158" w:rsidRPr="000F274F" w:rsidRDefault="00FA6158" w:rsidP="005E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A6158" w:rsidRPr="00FA6158" w:rsidRDefault="00DA5694" w:rsidP="005E4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109,6</w:t>
            </w:r>
          </w:p>
        </w:tc>
      </w:tr>
      <w:tr w:rsidR="00FA6158" w:rsidRPr="000F274F" w:rsidTr="00FA6158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FA6158" w:rsidRPr="000F274F" w:rsidRDefault="00FA6158" w:rsidP="0026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27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r w:rsidRPr="000F27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ормирование здорового образа жизни населения"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A6158" w:rsidRPr="000F274F" w:rsidRDefault="00DC0723" w:rsidP="00B64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A6158" w:rsidRPr="000F274F" w:rsidRDefault="00DC0723" w:rsidP="00B64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1275" w:type="dxa"/>
            <w:vAlign w:val="center"/>
          </w:tcPr>
          <w:p w:rsidR="00FA6158" w:rsidRPr="000F274F" w:rsidRDefault="00DC0723" w:rsidP="0010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FA6158" w:rsidRPr="00FA6158" w:rsidRDefault="00DA5694" w:rsidP="00FA61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</w:t>
            </w:r>
          </w:p>
        </w:tc>
      </w:tr>
      <w:tr w:rsidR="00FA6158" w:rsidRPr="000F274F" w:rsidTr="00FA6158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FA6158" w:rsidRPr="000F274F" w:rsidRDefault="00FA6158" w:rsidP="00193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27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"Развитие культуры"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A6158" w:rsidRPr="000F274F" w:rsidRDefault="00DC0723" w:rsidP="0010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A6158" w:rsidRPr="000F274F" w:rsidRDefault="00DC0723" w:rsidP="0010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16,0</w:t>
            </w:r>
          </w:p>
        </w:tc>
        <w:tc>
          <w:tcPr>
            <w:tcW w:w="1275" w:type="dxa"/>
            <w:vAlign w:val="center"/>
          </w:tcPr>
          <w:p w:rsidR="00FA6158" w:rsidRPr="000F274F" w:rsidRDefault="00DC0723" w:rsidP="0010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FA6158" w:rsidRPr="00FA6158" w:rsidRDefault="00DA5694" w:rsidP="00FA61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129,8</w:t>
            </w:r>
          </w:p>
        </w:tc>
      </w:tr>
      <w:tr w:rsidR="00FA6158" w:rsidRPr="000F274F" w:rsidTr="00FA6158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FA6158" w:rsidRPr="000F274F" w:rsidRDefault="00FA6158" w:rsidP="00967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27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"Социальная поддержка населения"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6158" w:rsidRPr="000F274F" w:rsidRDefault="00DC0723" w:rsidP="0010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6158" w:rsidRPr="000F274F" w:rsidRDefault="00FA6158" w:rsidP="00DC0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</w:t>
            </w:r>
            <w:r w:rsidR="00DC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275" w:type="dxa"/>
            <w:vAlign w:val="center"/>
          </w:tcPr>
          <w:p w:rsidR="00FA6158" w:rsidRPr="000F274F" w:rsidRDefault="00FA6158" w:rsidP="00DC0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DC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FA6158" w:rsidRPr="00FA6158" w:rsidRDefault="00DA5694" w:rsidP="00FA61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95,4</w:t>
            </w:r>
          </w:p>
        </w:tc>
      </w:tr>
      <w:tr w:rsidR="00FA6158" w:rsidRPr="000F274F" w:rsidTr="00FA6158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FA6158" w:rsidRPr="000F274F" w:rsidRDefault="00FA6158" w:rsidP="00967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«Создание условий для устойчивого экономического развития»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6158" w:rsidRDefault="00FA6158" w:rsidP="00B64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6158" w:rsidRDefault="00FA6158" w:rsidP="0010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FA6158" w:rsidRDefault="00FA6158" w:rsidP="0058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FA6158" w:rsidRPr="00FA6158" w:rsidRDefault="00FA6158" w:rsidP="00FA61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A6158" w:rsidRPr="000F274F" w:rsidTr="00FA6158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FA6158" w:rsidRPr="000F274F" w:rsidRDefault="00FA6158" w:rsidP="00193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C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"Безопасность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6158" w:rsidRDefault="00DC0723" w:rsidP="00B7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6158" w:rsidRDefault="00DC0723" w:rsidP="00B7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0,39</w:t>
            </w:r>
          </w:p>
        </w:tc>
        <w:tc>
          <w:tcPr>
            <w:tcW w:w="1275" w:type="dxa"/>
            <w:vAlign w:val="center"/>
          </w:tcPr>
          <w:p w:rsidR="00FA6158" w:rsidRDefault="00DC0723" w:rsidP="00B7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FA6158" w:rsidRPr="00FA6158" w:rsidRDefault="00DA5694" w:rsidP="00FA61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</w:t>
            </w:r>
          </w:p>
        </w:tc>
      </w:tr>
      <w:tr w:rsidR="00FA6158" w:rsidRPr="000F274F" w:rsidTr="00FA6158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FA6158" w:rsidRPr="000F274F" w:rsidRDefault="00FA6158" w:rsidP="00104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C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"Муниципальное хозяйство"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6158" w:rsidRPr="000F274F" w:rsidRDefault="00DC0723" w:rsidP="0069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6158" w:rsidRPr="000F274F" w:rsidRDefault="00DC0723" w:rsidP="0069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4,81</w:t>
            </w:r>
          </w:p>
        </w:tc>
        <w:tc>
          <w:tcPr>
            <w:tcW w:w="1275" w:type="dxa"/>
            <w:vAlign w:val="center"/>
          </w:tcPr>
          <w:p w:rsidR="00FA6158" w:rsidRPr="000F274F" w:rsidRDefault="00DC0723" w:rsidP="0010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FA6158" w:rsidRPr="00FA6158" w:rsidRDefault="00DA5694" w:rsidP="00FA61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</w:tr>
      <w:tr w:rsidR="00FA6158" w:rsidRPr="000F274F" w:rsidTr="00FA6158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FA6158" w:rsidRPr="000F274F" w:rsidRDefault="00FA6158" w:rsidP="00193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27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"Энергосбережение и повышение энергетической эффективности"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6158" w:rsidRPr="000F274F" w:rsidRDefault="00FA6158" w:rsidP="0036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6158" w:rsidRPr="000F274F" w:rsidRDefault="00FA6158" w:rsidP="0010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FA6158" w:rsidRPr="000F274F" w:rsidRDefault="00FA6158" w:rsidP="0010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FA6158" w:rsidRPr="00FA6158" w:rsidRDefault="00FA6158" w:rsidP="00FA6158">
            <w:pPr>
              <w:jc w:val="center"/>
              <w:rPr>
                <w:rFonts w:ascii="Times New Roman" w:hAnsi="Times New Roman" w:cs="Times New Roman"/>
              </w:rPr>
            </w:pPr>
            <w:r w:rsidRPr="00FA6158">
              <w:rPr>
                <w:rFonts w:ascii="Times New Roman" w:hAnsi="Times New Roman" w:cs="Times New Roman"/>
              </w:rPr>
              <w:t>0</w:t>
            </w:r>
          </w:p>
        </w:tc>
      </w:tr>
      <w:tr w:rsidR="00FA6158" w:rsidRPr="000F274F" w:rsidTr="00FA6158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FA6158" w:rsidRPr="000F274F" w:rsidRDefault="00FA6158" w:rsidP="00193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27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"Муниципальное управление"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6158" w:rsidRPr="000F274F" w:rsidRDefault="00FA6158" w:rsidP="00DC0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C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52,25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6158" w:rsidRPr="000F274F" w:rsidRDefault="00FA6158" w:rsidP="00DC0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DC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9,12</w:t>
            </w:r>
          </w:p>
        </w:tc>
        <w:tc>
          <w:tcPr>
            <w:tcW w:w="1275" w:type="dxa"/>
            <w:vAlign w:val="center"/>
          </w:tcPr>
          <w:p w:rsidR="00FA6158" w:rsidRPr="000F274F" w:rsidRDefault="00FA6158" w:rsidP="005B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5B5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FA6158" w:rsidRPr="00FA6158" w:rsidRDefault="00DA5694" w:rsidP="00FA61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119,8</w:t>
            </w:r>
          </w:p>
        </w:tc>
      </w:tr>
      <w:tr w:rsidR="00FA6158" w:rsidRPr="000F274F" w:rsidTr="00FA6158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FA6158" w:rsidRPr="000F274F" w:rsidRDefault="00FA6158" w:rsidP="00A56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27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"Управление муниципальными финансами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6158" w:rsidRPr="000F274F" w:rsidRDefault="005B5185" w:rsidP="0010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6158" w:rsidRPr="000F274F" w:rsidRDefault="00FA6158" w:rsidP="005B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</w:t>
            </w:r>
            <w:r w:rsidR="005B5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5" w:type="dxa"/>
            <w:vAlign w:val="center"/>
          </w:tcPr>
          <w:p w:rsidR="00FA6158" w:rsidRPr="000F274F" w:rsidRDefault="00FA6158" w:rsidP="005B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5B5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FA6158" w:rsidRPr="00FA6158" w:rsidRDefault="00DA5694" w:rsidP="00FA61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101,3</w:t>
            </w:r>
          </w:p>
        </w:tc>
      </w:tr>
      <w:tr w:rsidR="00FA6158" w:rsidRPr="000F274F" w:rsidTr="00FA6158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FA6158" w:rsidRPr="000F274F" w:rsidRDefault="00FA6158" w:rsidP="00104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"Развитие сельского хозяйства и расширение рынка сельскохозяйственной продукции"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6158" w:rsidRPr="000F274F" w:rsidRDefault="005B5185" w:rsidP="0010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6158" w:rsidRPr="000F274F" w:rsidRDefault="005B5185" w:rsidP="005B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1275" w:type="dxa"/>
            <w:vAlign w:val="center"/>
          </w:tcPr>
          <w:p w:rsidR="00FA6158" w:rsidRPr="000F274F" w:rsidRDefault="00FA6158" w:rsidP="0010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FA6158" w:rsidRPr="00FA6158" w:rsidRDefault="00FA6158" w:rsidP="00FA61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A6158" w:rsidRPr="000F274F" w:rsidTr="005E466E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FA6158" w:rsidRPr="00A56DE8" w:rsidRDefault="00FA6158" w:rsidP="00B9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«Комплексные меры противодействия немедицинскому потреблению наркотических средств и их незаконному обороту»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6158" w:rsidRDefault="00FA6158" w:rsidP="0036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6158" w:rsidRDefault="00FA6158" w:rsidP="0010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FA6158" w:rsidRDefault="00FA6158" w:rsidP="007D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A6158" w:rsidRPr="00FA6158" w:rsidRDefault="00FA6158" w:rsidP="005E4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A6158" w:rsidRPr="000F274F" w:rsidTr="00FA6158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FA6158" w:rsidRPr="000F274F" w:rsidRDefault="00FA6158" w:rsidP="00B9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"Реализация молодежной политики</w:t>
            </w:r>
            <w:r w:rsidRPr="00A56D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6158" w:rsidRPr="000F274F" w:rsidRDefault="00FA6158" w:rsidP="005B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</w:t>
            </w:r>
            <w:r w:rsidR="005B5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6158" w:rsidRPr="000F274F" w:rsidRDefault="005B5185" w:rsidP="002A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1,05</w:t>
            </w:r>
          </w:p>
        </w:tc>
        <w:tc>
          <w:tcPr>
            <w:tcW w:w="1275" w:type="dxa"/>
            <w:vAlign w:val="center"/>
          </w:tcPr>
          <w:p w:rsidR="00FA6158" w:rsidRPr="000F274F" w:rsidRDefault="005B5185" w:rsidP="00B9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FA6158" w:rsidRPr="00FA6158" w:rsidRDefault="00DA5694" w:rsidP="00FA61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112,9</w:t>
            </w:r>
          </w:p>
        </w:tc>
      </w:tr>
      <w:tr w:rsidR="00FA6158" w:rsidRPr="000F274F" w:rsidTr="00FA6158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FA6158" w:rsidRPr="000F274F" w:rsidRDefault="00FA6158" w:rsidP="00B9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современной городской среды муниципального образования Каракулинское</w:t>
            </w:r>
            <w:r w:rsidRPr="00A56D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6158" w:rsidRPr="000F274F" w:rsidRDefault="00FA6158" w:rsidP="005B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</w:t>
            </w:r>
            <w:r w:rsidR="005B5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6158" w:rsidRPr="000F274F" w:rsidRDefault="00FA6158" w:rsidP="0010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FA6158" w:rsidRPr="000F274F" w:rsidRDefault="00FA6158" w:rsidP="007D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FA6158" w:rsidRPr="00FA6158" w:rsidRDefault="006B3FAA" w:rsidP="00FA61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A6158" w:rsidRPr="000F274F" w:rsidTr="00FA6158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FA6158" w:rsidRPr="000F274F" w:rsidRDefault="00FA6158" w:rsidP="001044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0F274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6158" w:rsidRPr="000F274F" w:rsidRDefault="00FA6158" w:rsidP="005B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</w:t>
            </w:r>
            <w:r w:rsidR="005B5185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0,05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6158" w:rsidRPr="000F274F" w:rsidRDefault="00FA6158" w:rsidP="005B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1,</w:t>
            </w:r>
            <w:r w:rsidR="005B5185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6</w:t>
            </w:r>
          </w:p>
        </w:tc>
        <w:tc>
          <w:tcPr>
            <w:tcW w:w="1275" w:type="dxa"/>
            <w:vAlign w:val="center"/>
          </w:tcPr>
          <w:p w:rsidR="00FA6158" w:rsidRPr="000F274F" w:rsidRDefault="00FA6158" w:rsidP="0010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FA6158" w:rsidRPr="00FA6158" w:rsidRDefault="00DA5694" w:rsidP="00FA61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</w:tc>
      </w:tr>
      <w:tr w:rsidR="00E12AB2" w:rsidRPr="000F274F" w:rsidTr="001F1515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E12AB2" w:rsidRPr="000F274F" w:rsidRDefault="00E12AB2" w:rsidP="001044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F27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 расходов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12AB2" w:rsidRPr="000F274F" w:rsidRDefault="003641B9" w:rsidP="005B5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  <w:r w:rsidR="005B518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67,35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12AB2" w:rsidRPr="000F274F" w:rsidRDefault="005B5185" w:rsidP="007D6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155,76</w:t>
            </w:r>
          </w:p>
        </w:tc>
        <w:tc>
          <w:tcPr>
            <w:tcW w:w="1275" w:type="dxa"/>
            <w:vAlign w:val="center"/>
          </w:tcPr>
          <w:p w:rsidR="00E12AB2" w:rsidRPr="000F274F" w:rsidRDefault="003641B9" w:rsidP="007D6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E12AB2" w:rsidRPr="000F274F" w:rsidRDefault="005B5185" w:rsidP="00104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92,5</w:t>
            </w:r>
          </w:p>
        </w:tc>
      </w:tr>
    </w:tbl>
    <w:p w:rsidR="00B76ED8" w:rsidRDefault="00E12AB2" w:rsidP="00E12AB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ADD">
        <w:rPr>
          <w:rFonts w:ascii="Times New Roman" w:hAnsi="Times New Roman" w:cs="Times New Roman"/>
          <w:sz w:val="24"/>
          <w:szCs w:val="24"/>
        </w:rPr>
        <w:t>Более</w:t>
      </w:r>
      <w:r w:rsidRPr="00607C63">
        <w:rPr>
          <w:rFonts w:ascii="Times New Roman" w:hAnsi="Times New Roman" w:cs="Times New Roman"/>
          <w:sz w:val="24"/>
          <w:szCs w:val="24"/>
        </w:rPr>
        <w:t xml:space="preserve"> 25% исполнение составило по </w:t>
      </w:r>
      <w:r w:rsidR="00CE574C">
        <w:rPr>
          <w:rFonts w:ascii="Times New Roman" w:hAnsi="Times New Roman" w:cs="Times New Roman"/>
          <w:sz w:val="24"/>
          <w:szCs w:val="24"/>
        </w:rPr>
        <w:t>трем</w:t>
      </w:r>
      <w:r w:rsidRPr="00607C63">
        <w:rPr>
          <w:rFonts w:ascii="Times New Roman" w:hAnsi="Times New Roman" w:cs="Times New Roman"/>
          <w:sz w:val="24"/>
          <w:szCs w:val="24"/>
        </w:rPr>
        <w:t xml:space="preserve"> муниципальным программам: </w:t>
      </w:r>
      <w:r w:rsidR="007D602B">
        <w:rPr>
          <w:rFonts w:ascii="Times New Roman" w:hAnsi="Times New Roman" w:cs="Times New Roman"/>
          <w:sz w:val="24"/>
          <w:szCs w:val="24"/>
        </w:rPr>
        <w:t>МП «</w:t>
      </w:r>
      <w:r w:rsidR="007D602B" w:rsidRPr="00C51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здорового образа жизни населения</w:t>
      </w:r>
      <w:r w:rsidR="007D602B">
        <w:rPr>
          <w:rFonts w:ascii="Times New Roman" w:hAnsi="Times New Roman" w:cs="Times New Roman"/>
          <w:sz w:val="24"/>
          <w:szCs w:val="24"/>
        </w:rPr>
        <w:t>» (</w:t>
      </w:r>
      <w:r w:rsidR="00DA5694">
        <w:rPr>
          <w:rFonts w:ascii="Times New Roman" w:hAnsi="Times New Roman" w:cs="Times New Roman"/>
          <w:sz w:val="24"/>
          <w:szCs w:val="24"/>
        </w:rPr>
        <w:t>67,0</w:t>
      </w:r>
      <w:r w:rsidR="007D602B">
        <w:rPr>
          <w:rFonts w:ascii="Times New Roman" w:hAnsi="Times New Roman" w:cs="Times New Roman"/>
          <w:sz w:val="24"/>
          <w:szCs w:val="24"/>
        </w:rPr>
        <w:t>%)</w:t>
      </w:r>
      <w:r w:rsidR="00CE574C">
        <w:rPr>
          <w:rFonts w:ascii="Times New Roman" w:hAnsi="Times New Roman" w:cs="Times New Roman"/>
          <w:sz w:val="24"/>
          <w:szCs w:val="24"/>
        </w:rPr>
        <w:t>,</w:t>
      </w:r>
      <w:r w:rsidR="007D602B">
        <w:rPr>
          <w:rFonts w:ascii="Times New Roman" w:hAnsi="Times New Roman" w:cs="Times New Roman"/>
          <w:sz w:val="24"/>
          <w:szCs w:val="24"/>
        </w:rPr>
        <w:t xml:space="preserve"> </w:t>
      </w:r>
      <w:r w:rsidRPr="00607C63">
        <w:rPr>
          <w:rFonts w:ascii="Times New Roman" w:hAnsi="Times New Roman" w:cs="Times New Roman"/>
          <w:sz w:val="24"/>
          <w:szCs w:val="24"/>
        </w:rPr>
        <w:t>МП «Социальная поддержка населения» (</w:t>
      </w:r>
      <w:r w:rsidR="008E14D5">
        <w:rPr>
          <w:rFonts w:ascii="Times New Roman" w:hAnsi="Times New Roman" w:cs="Times New Roman"/>
          <w:sz w:val="24"/>
          <w:szCs w:val="24"/>
        </w:rPr>
        <w:t>3</w:t>
      </w:r>
      <w:r w:rsidR="00DA5694">
        <w:rPr>
          <w:rFonts w:ascii="Times New Roman" w:hAnsi="Times New Roman" w:cs="Times New Roman"/>
          <w:sz w:val="24"/>
          <w:szCs w:val="24"/>
        </w:rPr>
        <w:t>2</w:t>
      </w:r>
      <w:r w:rsidR="008E14D5">
        <w:rPr>
          <w:rFonts w:ascii="Times New Roman" w:hAnsi="Times New Roman" w:cs="Times New Roman"/>
          <w:sz w:val="24"/>
          <w:szCs w:val="24"/>
        </w:rPr>
        <w:t>,0</w:t>
      </w:r>
      <w:r w:rsidRPr="00607C63">
        <w:rPr>
          <w:rFonts w:ascii="Times New Roman" w:hAnsi="Times New Roman" w:cs="Times New Roman"/>
          <w:sz w:val="24"/>
          <w:szCs w:val="24"/>
        </w:rPr>
        <w:t>%)</w:t>
      </w:r>
      <w:r w:rsidR="00DA5694">
        <w:rPr>
          <w:rFonts w:ascii="Times New Roman" w:hAnsi="Times New Roman" w:cs="Times New Roman"/>
          <w:sz w:val="24"/>
          <w:szCs w:val="24"/>
        </w:rPr>
        <w:t>.</w:t>
      </w:r>
      <w:r w:rsidR="00CE574C">
        <w:rPr>
          <w:rFonts w:ascii="Times New Roman" w:hAnsi="Times New Roman" w:cs="Times New Roman"/>
          <w:sz w:val="24"/>
          <w:szCs w:val="24"/>
        </w:rPr>
        <w:t xml:space="preserve"> </w:t>
      </w:r>
      <w:r w:rsidR="000C78E7" w:rsidRPr="00607C63">
        <w:rPr>
          <w:rFonts w:ascii="Times New Roman" w:hAnsi="Times New Roman" w:cs="Times New Roman"/>
          <w:sz w:val="24"/>
          <w:szCs w:val="24"/>
        </w:rPr>
        <w:t>Ближе к 25%</w:t>
      </w:r>
      <w:r w:rsidRPr="00607C63">
        <w:rPr>
          <w:rFonts w:ascii="Times New Roman" w:hAnsi="Times New Roman" w:cs="Times New Roman"/>
          <w:sz w:val="24"/>
          <w:szCs w:val="24"/>
        </w:rPr>
        <w:t xml:space="preserve"> </w:t>
      </w:r>
      <w:r w:rsidR="000C78E7" w:rsidRPr="00607C63">
        <w:rPr>
          <w:rFonts w:ascii="Times New Roman" w:hAnsi="Times New Roman" w:cs="Times New Roman"/>
          <w:sz w:val="24"/>
          <w:szCs w:val="24"/>
        </w:rPr>
        <w:t xml:space="preserve">исполнение составило по </w:t>
      </w:r>
      <w:r w:rsidRPr="00607C63">
        <w:rPr>
          <w:rFonts w:ascii="Times New Roman" w:hAnsi="Times New Roman" w:cs="Times New Roman"/>
          <w:sz w:val="24"/>
          <w:szCs w:val="24"/>
        </w:rPr>
        <w:t>МП «</w:t>
      </w:r>
      <w:r w:rsidR="00CE574C">
        <w:rPr>
          <w:rFonts w:ascii="Times New Roman" w:hAnsi="Times New Roman" w:cs="Times New Roman"/>
          <w:sz w:val="24"/>
          <w:szCs w:val="24"/>
        </w:rPr>
        <w:t>Развитие образования» (</w:t>
      </w:r>
      <w:r w:rsidR="009149CB">
        <w:rPr>
          <w:rFonts w:ascii="Times New Roman" w:hAnsi="Times New Roman" w:cs="Times New Roman"/>
          <w:sz w:val="24"/>
          <w:szCs w:val="24"/>
        </w:rPr>
        <w:t>2</w:t>
      </w:r>
      <w:r w:rsidR="00B76ED8">
        <w:rPr>
          <w:rFonts w:ascii="Times New Roman" w:hAnsi="Times New Roman" w:cs="Times New Roman"/>
          <w:sz w:val="24"/>
          <w:szCs w:val="24"/>
        </w:rPr>
        <w:t>0</w:t>
      </w:r>
      <w:r w:rsidR="009149CB">
        <w:rPr>
          <w:rFonts w:ascii="Times New Roman" w:hAnsi="Times New Roman" w:cs="Times New Roman"/>
          <w:sz w:val="24"/>
          <w:szCs w:val="24"/>
        </w:rPr>
        <w:t>%)</w:t>
      </w:r>
      <w:r w:rsidR="00DA5694">
        <w:rPr>
          <w:rFonts w:ascii="Times New Roman" w:hAnsi="Times New Roman" w:cs="Times New Roman"/>
          <w:sz w:val="24"/>
          <w:szCs w:val="24"/>
        </w:rPr>
        <w:t>,</w:t>
      </w:r>
      <w:r w:rsidR="00B76ED8" w:rsidRPr="00B76ED8">
        <w:rPr>
          <w:rFonts w:ascii="Times New Roman" w:hAnsi="Times New Roman" w:cs="Times New Roman"/>
          <w:sz w:val="24"/>
          <w:szCs w:val="24"/>
        </w:rPr>
        <w:t xml:space="preserve"> </w:t>
      </w:r>
      <w:r w:rsidR="00B76ED8">
        <w:rPr>
          <w:rFonts w:ascii="Times New Roman" w:hAnsi="Times New Roman" w:cs="Times New Roman"/>
          <w:sz w:val="24"/>
          <w:szCs w:val="24"/>
        </w:rPr>
        <w:t>МП «Реализация молодежной политики» (</w:t>
      </w:r>
      <w:r w:rsidR="00DA5694">
        <w:rPr>
          <w:rFonts w:ascii="Times New Roman" w:hAnsi="Times New Roman" w:cs="Times New Roman"/>
          <w:sz w:val="24"/>
          <w:szCs w:val="24"/>
        </w:rPr>
        <w:t>21,0</w:t>
      </w:r>
      <w:r w:rsidR="00B76ED8">
        <w:rPr>
          <w:rFonts w:ascii="Times New Roman" w:hAnsi="Times New Roman" w:cs="Times New Roman"/>
          <w:sz w:val="24"/>
          <w:szCs w:val="24"/>
        </w:rPr>
        <w:t>%),</w:t>
      </w:r>
      <w:r w:rsidR="00E8033F">
        <w:rPr>
          <w:rFonts w:ascii="Times New Roman" w:hAnsi="Times New Roman" w:cs="Times New Roman"/>
          <w:sz w:val="24"/>
          <w:szCs w:val="24"/>
        </w:rPr>
        <w:t xml:space="preserve"> </w:t>
      </w:r>
      <w:r w:rsidR="00B76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76ED8" w:rsidRPr="00607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муниципальными финансами»</w:t>
      </w:r>
      <w:r w:rsidR="00B76ED8" w:rsidRPr="00607C63">
        <w:rPr>
          <w:rFonts w:ascii="Times New Roman" w:hAnsi="Times New Roman" w:cs="Times New Roman"/>
          <w:sz w:val="24"/>
          <w:szCs w:val="24"/>
        </w:rPr>
        <w:t xml:space="preserve"> (</w:t>
      </w:r>
      <w:r w:rsidR="00B76ED8">
        <w:rPr>
          <w:rFonts w:ascii="Times New Roman" w:hAnsi="Times New Roman" w:cs="Times New Roman"/>
          <w:sz w:val="24"/>
          <w:szCs w:val="24"/>
        </w:rPr>
        <w:t>1</w:t>
      </w:r>
      <w:r w:rsidR="00DA5694">
        <w:rPr>
          <w:rFonts w:ascii="Times New Roman" w:hAnsi="Times New Roman" w:cs="Times New Roman"/>
          <w:sz w:val="24"/>
          <w:szCs w:val="24"/>
        </w:rPr>
        <w:t>8</w:t>
      </w:r>
      <w:r w:rsidR="00B76ED8" w:rsidRPr="00607C63">
        <w:rPr>
          <w:rFonts w:ascii="Times New Roman" w:hAnsi="Times New Roman" w:cs="Times New Roman"/>
          <w:sz w:val="24"/>
          <w:szCs w:val="24"/>
        </w:rPr>
        <w:t>,0%)</w:t>
      </w:r>
      <w:r w:rsidR="00DA5694">
        <w:rPr>
          <w:rFonts w:ascii="Times New Roman" w:hAnsi="Times New Roman" w:cs="Times New Roman"/>
          <w:sz w:val="24"/>
          <w:szCs w:val="24"/>
        </w:rPr>
        <w:t>,</w:t>
      </w:r>
      <w:r w:rsidR="00E8033F" w:rsidRPr="00E8033F">
        <w:rPr>
          <w:rFonts w:ascii="Times New Roman" w:hAnsi="Times New Roman" w:cs="Times New Roman"/>
          <w:sz w:val="24"/>
          <w:szCs w:val="24"/>
        </w:rPr>
        <w:t xml:space="preserve"> </w:t>
      </w:r>
      <w:r w:rsidR="00DA5694" w:rsidRPr="00607C63">
        <w:rPr>
          <w:rFonts w:ascii="Times New Roman" w:hAnsi="Times New Roman" w:cs="Times New Roman"/>
          <w:sz w:val="24"/>
          <w:szCs w:val="24"/>
        </w:rPr>
        <w:t>МП</w:t>
      </w:r>
      <w:r w:rsidR="00DA5694">
        <w:rPr>
          <w:rFonts w:ascii="Times New Roman" w:hAnsi="Times New Roman" w:cs="Times New Roman"/>
          <w:sz w:val="24"/>
          <w:szCs w:val="24"/>
        </w:rPr>
        <w:t xml:space="preserve"> </w:t>
      </w:r>
      <w:r w:rsidR="00DA5694" w:rsidRPr="00A9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"Муниципальное управление"</w:t>
      </w:r>
      <w:r w:rsidR="00DA5694" w:rsidRPr="00607C63">
        <w:rPr>
          <w:rFonts w:ascii="Times New Roman" w:hAnsi="Times New Roman" w:cs="Times New Roman"/>
          <w:sz w:val="24"/>
          <w:szCs w:val="24"/>
        </w:rPr>
        <w:t>(</w:t>
      </w:r>
      <w:r w:rsidR="00DA5694">
        <w:rPr>
          <w:rFonts w:ascii="Times New Roman" w:hAnsi="Times New Roman" w:cs="Times New Roman"/>
          <w:sz w:val="24"/>
          <w:szCs w:val="24"/>
        </w:rPr>
        <w:t>19</w:t>
      </w:r>
      <w:r w:rsidR="00DA5694" w:rsidRPr="00607C63">
        <w:rPr>
          <w:rFonts w:ascii="Times New Roman" w:hAnsi="Times New Roman" w:cs="Times New Roman"/>
          <w:sz w:val="24"/>
          <w:szCs w:val="24"/>
        </w:rPr>
        <w:t>,0%)</w:t>
      </w:r>
      <w:r w:rsidR="001E7321">
        <w:rPr>
          <w:rFonts w:ascii="Times New Roman" w:hAnsi="Times New Roman" w:cs="Times New Roman"/>
          <w:sz w:val="24"/>
          <w:szCs w:val="24"/>
        </w:rPr>
        <w:t>, МП «Развитие культуры» (17%)</w:t>
      </w:r>
      <w:r w:rsidR="00DA5694">
        <w:rPr>
          <w:rFonts w:ascii="Times New Roman" w:hAnsi="Times New Roman" w:cs="Times New Roman"/>
          <w:sz w:val="24"/>
          <w:szCs w:val="24"/>
        </w:rPr>
        <w:t>.</w:t>
      </w:r>
    </w:p>
    <w:p w:rsidR="001520BA" w:rsidRDefault="00E12AB2" w:rsidP="00E12AB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C63">
        <w:rPr>
          <w:rFonts w:ascii="Times New Roman" w:hAnsi="Times New Roman" w:cs="Times New Roman"/>
          <w:sz w:val="24"/>
          <w:szCs w:val="24"/>
        </w:rPr>
        <w:t>Исполнение по всем остальным муниципальным программам в 1 квартале 202</w:t>
      </w:r>
      <w:r w:rsidR="00DA5694">
        <w:rPr>
          <w:rFonts w:ascii="Times New Roman" w:hAnsi="Times New Roman" w:cs="Times New Roman"/>
          <w:sz w:val="24"/>
          <w:szCs w:val="24"/>
        </w:rPr>
        <w:t>6</w:t>
      </w:r>
      <w:r w:rsidRPr="00607C63">
        <w:rPr>
          <w:rFonts w:ascii="Times New Roman" w:hAnsi="Times New Roman" w:cs="Times New Roman"/>
          <w:sz w:val="24"/>
          <w:szCs w:val="24"/>
        </w:rPr>
        <w:t xml:space="preserve"> года составило </w:t>
      </w:r>
      <w:proofErr w:type="gramStart"/>
      <w:r w:rsidRPr="00607C63">
        <w:rPr>
          <w:rFonts w:ascii="Times New Roman" w:hAnsi="Times New Roman" w:cs="Times New Roman"/>
          <w:sz w:val="24"/>
          <w:szCs w:val="24"/>
        </w:rPr>
        <w:t>менее ¼ годовых</w:t>
      </w:r>
      <w:proofErr w:type="gramEnd"/>
      <w:r w:rsidRPr="00607C63">
        <w:rPr>
          <w:rFonts w:ascii="Times New Roman" w:hAnsi="Times New Roman" w:cs="Times New Roman"/>
          <w:sz w:val="24"/>
          <w:szCs w:val="24"/>
        </w:rPr>
        <w:t xml:space="preserve"> назначений. </w:t>
      </w:r>
      <w:r w:rsidR="005E466E">
        <w:rPr>
          <w:rFonts w:ascii="Times New Roman" w:hAnsi="Times New Roman" w:cs="Times New Roman"/>
          <w:sz w:val="24"/>
          <w:szCs w:val="24"/>
        </w:rPr>
        <w:t xml:space="preserve">МП </w:t>
      </w:r>
      <w:r w:rsidR="005E466E" w:rsidRPr="00607C63">
        <w:rPr>
          <w:rFonts w:ascii="Times New Roman" w:hAnsi="Times New Roman" w:cs="Times New Roman"/>
          <w:sz w:val="24"/>
          <w:szCs w:val="24"/>
        </w:rPr>
        <w:t>«</w:t>
      </w:r>
      <w:r w:rsidR="005E466E">
        <w:rPr>
          <w:rFonts w:ascii="Times New Roman" w:hAnsi="Times New Roman" w:cs="Times New Roman"/>
          <w:sz w:val="24"/>
          <w:szCs w:val="24"/>
        </w:rPr>
        <w:t>Безопасность</w:t>
      </w:r>
      <w:r w:rsidR="005E466E" w:rsidRPr="00607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5E4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1E7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5E4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</w:t>
      </w:r>
      <w:r w:rsidR="005E466E" w:rsidRPr="001520BA">
        <w:rPr>
          <w:rFonts w:ascii="Times New Roman" w:hAnsi="Times New Roman" w:cs="Times New Roman"/>
          <w:sz w:val="24"/>
          <w:szCs w:val="24"/>
        </w:rPr>
        <w:t xml:space="preserve"> </w:t>
      </w:r>
      <w:r w:rsidR="00B76ED8" w:rsidRPr="00607C63">
        <w:rPr>
          <w:rFonts w:ascii="Times New Roman" w:hAnsi="Times New Roman" w:cs="Times New Roman"/>
          <w:sz w:val="24"/>
          <w:szCs w:val="24"/>
        </w:rPr>
        <w:t>МП</w:t>
      </w:r>
      <w:r w:rsidR="00B76ED8">
        <w:rPr>
          <w:rFonts w:ascii="Times New Roman" w:hAnsi="Times New Roman" w:cs="Times New Roman"/>
          <w:sz w:val="24"/>
          <w:szCs w:val="24"/>
        </w:rPr>
        <w:t xml:space="preserve"> </w:t>
      </w:r>
      <w:r w:rsidR="00B76ED8" w:rsidRPr="001520BA">
        <w:rPr>
          <w:rFonts w:ascii="Times New Roman" w:hAnsi="Times New Roman" w:cs="Times New Roman"/>
          <w:sz w:val="24"/>
          <w:szCs w:val="24"/>
        </w:rPr>
        <w:t>«</w:t>
      </w:r>
      <w:r w:rsidR="001520BA" w:rsidRPr="00152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хозяйство</w:t>
      </w:r>
      <w:r w:rsidR="00B76ED8" w:rsidRPr="001520BA">
        <w:rPr>
          <w:rFonts w:ascii="Times New Roman" w:hAnsi="Times New Roman" w:cs="Times New Roman"/>
          <w:sz w:val="24"/>
          <w:szCs w:val="24"/>
        </w:rPr>
        <w:t>»</w:t>
      </w:r>
      <w:r w:rsidR="00B76ED8">
        <w:rPr>
          <w:rFonts w:ascii="Times New Roman" w:hAnsi="Times New Roman" w:cs="Times New Roman"/>
          <w:sz w:val="24"/>
          <w:szCs w:val="24"/>
        </w:rPr>
        <w:t xml:space="preserve"> (</w:t>
      </w:r>
      <w:r w:rsidR="001E7321">
        <w:rPr>
          <w:rFonts w:ascii="Times New Roman" w:hAnsi="Times New Roman" w:cs="Times New Roman"/>
          <w:sz w:val="24"/>
          <w:szCs w:val="24"/>
        </w:rPr>
        <w:t>5</w:t>
      </w:r>
      <w:r w:rsidR="00E8033F">
        <w:rPr>
          <w:rFonts w:ascii="Times New Roman" w:hAnsi="Times New Roman" w:cs="Times New Roman"/>
          <w:sz w:val="24"/>
          <w:szCs w:val="24"/>
        </w:rPr>
        <w:t xml:space="preserve">%), </w:t>
      </w:r>
      <w:r w:rsidR="001520BA">
        <w:rPr>
          <w:rFonts w:ascii="Times New Roman" w:hAnsi="Times New Roman" w:cs="Times New Roman"/>
          <w:sz w:val="24"/>
          <w:szCs w:val="24"/>
        </w:rPr>
        <w:t>МП «</w:t>
      </w:r>
      <w:r w:rsidR="001520BA" w:rsidRPr="008E4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сельского хозяйства и расширение рынка сельскохозяйственной продукции</w:t>
      </w:r>
      <w:r w:rsidR="00152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(3%).</w:t>
      </w:r>
    </w:p>
    <w:p w:rsidR="00E12AB2" w:rsidRPr="00607C63" w:rsidRDefault="00A918A1" w:rsidP="005E466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МП </w:t>
      </w:r>
      <w:r w:rsidR="00266BF0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266BF0" w:rsidRPr="00266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Комплексные меры противодействия немедицинскому потреблению наркотических средств и их незаконному обороту»</w:t>
      </w:r>
      <w:r w:rsidR="00266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МП</w:t>
      </w:r>
      <w:r w:rsidR="00266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266BF0" w:rsidRPr="00A9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современной городской среды муниципального образования Каракулинское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8E1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МП «</w:t>
      </w:r>
      <w:r w:rsidR="008E14D5" w:rsidRPr="008E1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устойчивого экономического развития»</w:t>
      </w:r>
      <w:r w:rsidR="005E4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E466E" w:rsidRPr="005E4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4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</w:t>
      </w:r>
      <w:r w:rsidR="005E466E" w:rsidRPr="005E466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E466E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5E466E" w:rsidRPr="005E4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Энергосбережение и повышение энергетической эффективности</w:t>
      </w:r>
      <w:r w:rsidR="005E4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12AB2" w:rsidRPr="00607C63">
        <w:rPr>
          <w:rFonts w:ascii="Times New Roman" w:hAnsi="Times New Roman" w:cs="Times New Roman"/>
          <w:sz w:val="24"/>
          <w:szCs w:val="24"/>
        </w:rPr>
        <w:t>исполнение по итогам 1 квартала 202</w:t>
      </w:r>
      <w:r w:rsidR="00DA5694">
        <w:rPr>
          <w:rFonts w:ascii="Times New Roman" w:hAnsi="Times New Roman" w:cs="Times New Roman"/>
          <w:sz w:val="24"/>
          <w:szCs w:val="24"/>
        </w:rPr>
        <w:t>6</w:t>
      </w:r>
      <w:r w:rsidR="00E12AB2" w:rsidRPr="00607C63">
        <w:rPr>
          <w:rFonts w:ascii="Times New Roman" w:hAnsi="Times New Roman" w:cs="Times New Roman"/>
          <w:sz w:val="24"/>
          <w:szCs w:val="24"/>
        </w:rPr>
        <w:t xml:space="preserve"> года равн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E12AB2" w:rsidRPr="00607C63">
        <w:rPr>
          <w:rFonts w:ascii="Times New Roman" w:hAnsi="Times New Roman" w:cs="Times New Roman"/>
          <w:sz w:val="24"/>
          <w:szCs w:val="24"/>
        </w:rPr>
        <w:t xml:space="preserve"> нулю.</w:t>
      </w:r>
      <w:r w:rsidR="009149CB">
        <w:rPr>
          <w:rFonts w:ascii="Times New Roman" w:hAnsi="Times New Roman" w:cs="Times New Roman"/>
          <w:sz w:val="24"/>
          <w:szCs w:val="24"/>
        </w:rPr>
        <w:t xml:space="preserve"> По непрограммным направлениям деятельности отмечен</w:t>
      </w:r>
      <w:r w:rsidR="005E466E">
        <w:rPr>
          <w:rFonts w:ascii="Times New Roman" w:hAnsi="Times New Roman" w:cs="Times New Roman"/>
          <w:sz w:val="24"/>
          <w:szCs w:val="24"/>
        </w:rPr>
        <w:t>о снижение 1</w:t>
      </w:r>
      <w:r w:rsidR="00DA5694">
        <w:rPr>
          <w:rFonts w:ascii="Times New Roman" w:hAnsi="Times New Roman" w:cs="Times New Roman"/>
          <w:sz w:val="24"/>
          <w:szCs w:val="24"/>
        </w:rPr>
        <w:t>5,0</w:t>
      </w:r>
      <w:r w:rsidR="009149CB">
        <w:rPr>
          <w:rFonts w:ascii="Times New Roman" w:hAnsi="Times New Roman" w:cs="Times New Roman"/>
          <w:sz w:val="24"/>
          <w:szCs w:val="24"/>
        </w:rPr>
        <w:t>%.</w:t>
      </w:r>
    </w:p>
    <w:p w:rsidR="009951CB" w:rsidRDefault="00E12AB2" w:rsidP="00E12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C63">
        <w:rPr>
          <w:rFonts w:ascii="Times New Roman" w:hAnsi="Times New Roman" w:cs="Times New Roman"/>
          <w:sz w:val="24"/>
          <w:szCs w:val="24"/>
        </w:rPr>
        <w:t xml:space="preserve">Рост исполнения в 1 квартале относительно аналогичного периода прошлого </w:t>
      </w:r>
      <w:r w:rsidR="009149CB">
        <w:rPr>
          <w:rFonts w:ascii="Times New Roman" w:hAnsi="Times New Roman" w:cs="Times New Roman"/>
          <w:sz w:val="24"/>
          <w:szCs w:val="24"/>
        </w:rPr>
        <w:t>202</w:t>
      </w:r>
      <w:r w:rsidR="001E7321">
        <w:rPr>
          <w:rFonts w:ascii="Times New Roman" w:hAnsi="Times New Roman" w:cs="Times New Roman"/>
          <w:sz w:val="24"/>
          <w:szCs w:val="24"/>
        </w:rPr>
        <w:t>5</w:t>
      </w:r>
      <w:r w:rsidR="009149CB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607C63">
        <w:rPr>
          <w:rFonts w:ascii="Times New Roman" w:hAnsi="Times New Roman" w:cs="Times New Roman"/>
          <w:sz w:val="24"/>
          <w:szCs w:val="24"/>
        </w:rPr>
        <w:t xml:space="preserve">отмечен по </w:t>
      </w:r>
      <w:r w:rsidR="001E7321">
        <w:rPr>
          <w:rFonts w:ascii="Times New Roman" w:hAnsi="Times New Roman" w:cs="Times New Roman"/>
          <w:sz w:val="24"/>
          <w:szCs w:val="24"/>
        </w:rPr>
        <w:t>пяти</w:t>
      </w:r>
      <w:r w:rsidRPr="00607C63">
        <w:rPr>
          <w:rFonts w:ascii="Times New Roman" w:hAnsi="Times New Roman" w:cs="Times New Roman"/>
          <w:sz w:val="24"/>
          <w:szCs w:val="24"/>
        </w:rPr>
        <w:t xml:space="preserve"> муниципальным программам. Наибольшие показатели роста отмечены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="009951CB" w:rsidRPr="009951CB">
        <w:rPr>
          <w:rFonts w:ascii="Times New Roman" w:hAnsi="Times New Roman" w:cs="Times New Roman"/>
          <w:sz w:val="24"/>
          <w:szCs w:val="24"/>
        </w:rPr>
        <w:t xml:space="preserve"> </w:t>
      </w:r>
      <w:r w:rsidR="009951CB">
        <w:rPr>
          <w:rFonts w:ascii="Times New Roman" w:hAnsi="Times New Roman" w:cs="Times New Roman"/>
          <w:sz w:val="24"/>
          <w:szCs w:val="24"/>
        </w:rPr>
        <w:t>МП «Развитие культуры» на (29,8%),</w:t>
      </w:r>
      <w:r w:rsidR="009951CB" w:rsidRPr="009951CB">
        <w:rPr>
          <w:rFonts w:ascii="Times New Roman" w:hAnsi="Times New Roman" w:cs="Times New Roman"/>
          <w:sz w:val="24"/>
          <w:szCs w:val="24"/>
        </w:rPr>
        <w:t xml:space="preserve"> </w:t>
      </w:r>
      <w:r w:rsidR="009951CB">
        <w:rPr>
          <w:rFonts w:ascii="Times New Roman" w:hAnsi="Times New Roman" w:cs="Times New Roman"/>
          <w:sz w:val="24"/>
          <w:szCs w:val="24"/>
        </w:rPr>
        <w:t>МП «Развитие образования» (на 9,6%),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51CB">
        <w:rPr>
          <w:rFonts w:ascii="Times New Roman" w:hAnsi="Times New Roman" w:cs="Times New Roman"/>
          <w:sz w:val="24"/>
          <w:szCs w:val="24"/>
        </w:rPr>
        <w:t>МП «</w:t>
      </w:r>
      <w:r w:rsidR="009951CB" w:rsidRPr="00607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управление</w:t>
      </w:r>
      <w:r w:rsidR="009951CB">
        <w:rPr>
          <w:rFonts w:ascii="Times New Roman" w:hAnsi="Times New Roman" w:cs="Times New Roman"/>
          <w:sz w:val="24"/>
          <w:szCs w:val="24"/>
        </w:rPr>
        <w:t xml:space="preserve">» (на 19,8%), </w:t>
      </w:r>
      <w:r w:rsidR="00B72ADD">
        <w:rPr>
          <w:rFonts w:ascii="Times New Roman" w:hAnsi="Times New Roman" w:cs="Times New Roman"/>
          <w:sz w:val="24"/>
          <w:szCs w:val="24"/>
        </w:rPr>
        <w:t>МП «Управление муниципальными финансами»</w:t>
      </w:r>
      <w:r w:rsidR="00B72ADD" w:rsidRPr="00C51B21">
        <w:rPr>
          <w:rFonts w:ascii="Times New Roman" w:hAnsi="Times New Roman" w:cs="Times New Roman"/>
          <w:sz w:val="24"/>
          <w:szCs w:val="24"/>
        </w:rPr>
        <w:t xml:space="preserve"> </w:t>
      </w:r>
      <w:r w:rsidR="00B72ADD">
        <w:rPr>
          <w:rFonts w:ascii="Times New Roman" w:hAnsi="Times New Roman" w:cs="Times New Roman"/>
          <w:sz w:val="24"/>
          <w:szCs w:val="24"/>
        </w:rPr>
        <w:t xml:space="preserve">(на </w:t>
      </w:r>
      <w:r w:rsidR="009951CB">
        <w:rPr>
          <w:rFonts w:ascii="Times New Roman" w:hAnsi="Times New Roman" w:cs="Times New Roman"/>
          <w:sz w:val="24"/>
          <w:szCs w:val="24"/>
        </w:rPr>
        <w:t>1,3</w:t>
      </w:r>
      <w:r w:rsidR="00B72ADD">
        <w:rPr>
          <w:rFonts w:ascii="Times New Roman" w:hAnsi="Times New Roman" w:cs="Times New Roman"/>
          <w:sz w:val="24"/>
          <w:szCs w:val="24"/>
        </w:rPr>
        <w:t>%),</w:t>
      </w:r>
      <w:r w:rsidR="00B72ADD" w:rsidRPr="00AD1E9B">
        <w:rPr>
          <w:rFonts w:ascii="Times New Roman" w:hAnsi="Times New Roman" w:cs="Times New Roman"/>
          <w:sz w:val="24"/>
          <w:szCs w:val="24"/>
        </w:rPr>
        <w:t xml:space="preserve"> </w:t>
      </w:r>
      <w:r w:rsidR="00B72ADD">
        <w:rPr>
          <w:rFonts w:ascii="Times New Roman" w:hAnsi="Times New Roman" w:cs="Times New Roman"/>
          <w:sz w:val="24"/>
          <w:szCs w:val="24"/>
        </w:rPr>
        <w:t>МП «Реализация молодежной политики» на (</w:t>
      </w:r>
      <w:r w:rsidR="009951CB">
        <w:rPr>
          <w:rFonts w:ascii="Times New Roman" w:hAnsi="Times New Roman" w:cs="Times New Roman"/>
          <w:sz w:val="24"/>
          <w:szCs w:val="24"/>
        </w:rPr>
        <w:t>12,9</w:t>
      </w:r>
      <w:r w:rsidR="00B72ADD">
        <w:rPr>
          <w:rFonts w:ascii="Times New Roman" w:hAnsi="Times New Roman" w:cs="Times New Roman"/>
          <w:sz w:val="24"/>
          <w:szCs w:val="24"/>
        </w:rPr>
        <w:t>%)</w:t>
      </w:r>
      <w:r w:rsidR="009951CB">
        <w:rPr>
          <w:rFonts w:ascii="Times New Roman" w:hAnsi="Times New Roman" w:cs="Times New Roman"/>
          <w:sz w:val="24"/>
          <w:szCs w:val="24"/>
        </w:rPr>
        <w:t>.</w:t>
      </w:r>
    </w:p>
    <w:p w:rsidR="00C51B21" w:rsidRDefault="006B3FAA" w:rsidP="00E12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1B21">
        <w:rPr>
          <w:rFonts w:ascii="Times New Roman" w:hAnsi="Times New Roman" w:cs="Times New Roman"/>
          <w:sz w:val="24"/>
          <w:szCs w:val="24"/>
        </w:rPr>
        <w:t xml:space="preserve">Снижение относительно аналогичного периода прошлого года отмечено по </w:t>
      </w:r>
      <w:r w:rsidR="009951CB">
        <w:rPr>
          <w:rFonts w:ascii="Times New Roman" w:hAnsi="Times New Roman" w:cs="Times New Roman"/>
          <w:sz w:val="24"/>
          <w:szCs w:val="24"/>
        </w:rPr>
        <w:t>четырем</w:t>
      </w:r>
      <w:r w:rsidR="00C51B21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9951CB">
        <w:rPr>
          <w:rFonts w:ascii="Times New Roman" w:hAnsi="Times New Roman" w:cs="Times New Roman"/>
          <w:sz w:val="24"/>
          <w:szCs w:val="24"/>
        </w:rPr>
        <w:t>ым</w:t>
      </w:r>
      <w:r w:rsidR="00C51B21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AD1E9B">
        <w:rPr>
          <w:rFonts w:ascii="Times New Roman" w:hAnsi="Times New Roman" w:cs="Times New Roman"/>
          <w:sz w:val="24"/>
          <w:szCs w:val="24"/>
        </w:rPr>
        <w:t xml:space="preserve"> </w:t>
      </w:r>
      <w:r w:rsidR="00E12AB2">
        <w:rPr>
          <w:rFonts w:ascii="Times New Roman" w:hAnsi="Times New Roman" w:cs="Times New Roman"/>
          <w:sz w:val="24"/>
          <w:szCs w:val="24"/>
        </w:rPr>
        <w:t>по</w:t>
      </w:r>
      <w:r w:rsidR="001E7321" w:rsidRPr="001E7321">
        <w:rPr>
          <w:rFonts w:ascii="Times New Roman" w:hAnsi="Times New Roman" w:cs="Times New Roman"/>
          <w:sz w:val="24"/>
          <w:szCs w:val="24"/>
        </w:rPr>
        <w:t xml:space="preserve"> </w:t>
      </w:r>
      <w:r w:rsidR="001E7321">
        <w:rPr>
          <w:rFonts w:ascii="Times New Roman" w:hAnsi="Times New Roman" w:cs="Times New Roman"/>
          <w:sz w:val="24"/>
          <w:szCs w:val="24"/>
        </w:rPr>
        <w:t>МП «</w:t>
      </w:r>
      <w:r w:rsidR="001E7321" w:rsidRPr="00C51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здорового образа жизни населения</w:t>
      </w:r>
      <w:r w:rsidR="001E7321">
        <w:rPr>
          <w:rFonts w:ascii="Times New Roman" w:hAnsi="Times New Roman" w:cs="Times New Roman"/>
          <w:sz w:val="24"/>
          <w:szCs w:val="24"/>
        </w:rPr>
        <w:t>» (на 46,2%),</w:t>
      </w:r>
      <w:r w:rsidR="001E7321" w:rsidRPr="009149CB">
        <w:rPr>
          <w:rFonts w:ascii="Times New Roman" w:hAnsi="Times New Roman" w:cs="Times New Roman"/>
          <w:sz w:val="24"/>
          <w:szCs w:val="24"/>
        </w:rPr>
        <w:t xml:space="preserve"> </w:t>
      </w:r>
      <w:r w:rsidR="00E12AB2">
        <w:rPr>
          <w:rFonts w:ascii="Times New Roman" w:hAnsi="Times New Roman" w:cs="Times New Roman"/>
          <w:sz w:val="24"/>
          <w:szCs w:val="24"/>
        </w:rPr>
        <w:t>МП «</w:t>
      </w:r>
      <w:r>
        <w:rPr>
          <w:rFonts w:ascii="Times New Roman" w:hAnsi="Times New Roman" w:cs="Times New Roman"/>
          <w:sz w:val="24"/>
          <w:szCs w:val="24"/>
        </w:rPr>
        <w:t>Муниципальное хозяйство</w:t>
      </w:r>
      <w:r w:rsidR="00E12AB2">
        <w:rPr>
          <w:rFonts w:ascii="Times New Roman" w:hAnsi="Times New Roman" w:cs="Times New Roman"/>
          <w:sz w:val="24"/>
          <w:szCs w:val="24"/>
        </w:rPr>
        <w:t xml:space="preserve">» (на </w:t>
      </w:r>
      <w:r w:rsidR="001E7321">
        <w:rPr>
          <w:rFonts w:ascii="Times New Roman" w:hAnsi="Times New Roman" w:cs="Times New Roman"/>
          <w:sz w:val="24"/>
          <w:szCs w:val="24"/>
        </w:rPr>
        <w:t>39,3</w:t>
      </w:r>
      <w:r w:rsidR="00E12AB2">
        <w:rPr>
          <w:rFonts w:ascii="Times New Roman" w:hAnsi="Times New Roman" w:cs="Times New Roman"/>
          <w:sz w:val="24"/>
          <w:szCs w:val="24"/>
        </w:rPr>
        <w:t>%)</w:t>
      </w:r>
      <w:r w:rsidR="001E7321">
        <w:rPr>
          <w:rFonts w:ascii="Times New Roman" w:hAnsi="Times New Roman" w:cs="Times New Roman"/>
          <w:sz w:val="24"/>
          <w:szCs w:val="24"/>
        </w:rPr>
        <w:t>,МП «Безопасность» (на 17,0%),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7321">
        <w:rPr>
          <w:rFonts w:ascii="Times New Roman" w:hAnsi="Times New Roman" w:cs="Times New Roman"/>
          <w:sz w:val="24"/>
          <w:szCs w:val="24"/>
        </w:rPr>
        <w:t xml:space="preserve">«Социальная поддержка населения» (на 4,6%), </w:t>
      </w:r>
      <w:r>
        <w:rPr>
          <w:rFonts w:ascii="Times New Roman" w:hAnsi="Times New Roman" w:cs="Times New Roman"/>
          <w:sz w:val="24"/>
          <w:szCs w:val="24"/>
        </w:rPr>
        <w:t xml:space="preserve">и непрограммные направления деятельности (на </w:t>
      </w:r>
      <w:r w:rsidR="001E7321">
        <w:rPr>
          <w:rFonts w:ascii="Times New Roman" w:hAnsi="Times New Roman" w:cs="Times New Roman"/>
          <w:sz w:val="24"/>
          <w:szCs w:val="24"/>
        </w:rPr>
        <w:t>25,5</w:t>
      </w:r>
      <w:r>
        <w:rPr>
          <w:rFonts w:ascii="Times New Roman" w:hAnsi="Times New Roman" w:cs="Times New Roman"/>
          <w:sz w:val="24"/>
          <w:szCs w:val="24"/>
        </w:rPr>
        <w:t>%)</w:t>
      </w:r>
      <w:r w:rsidR="00AD1E9B">
        <w:rPr>
          <w:rFonts w:ascii="Times New Roman" w:hAnsi="Times New Roman" w:cs="Times New Roman"/>
          <w:sz w:val="24"/>
          <w:szCs w:val="24"/>
        </w:rPr>
        <w:t>.</w:t>
      </w:r>
    </w:p>
    <w:p w:rsidR="00556F87" w:rsidRPr="00556F87" w:rsidRDefault="008E4377" w:rsidP="00556F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 также по </w:t>
      </w:r>
      <w:r w:rsidR="001E7321">
        <w:rPr>
          <w:rFonts w:ascii="Times New Roman" w:hAnsi="Times New Roman" w:cs="Times New Roman"/>
          <w:sz w:val="24"/>
          <w:szCs w:val="24"/>
        </w:rPr>
        <w:t>пяти</w:t>
      </w:r>
      <w:r>
        <w:rPr>
          <w:rFonts w:ascii="Times New Roman" w:hAnsi="Times New Roman" w:cs="Times New Roman"/>
          <w:sz w:val="24"/>
          <w:szCs w:val="24"/>
        </w:rPr>
        <w:t xml:space="preserve"> программам относительно аналогичного периода прошлого года исполнение по итогам за 1 квартал 202</w:t>
      </w:r>
      <w:r w:rsidR="001E732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равны нулю, по </w:t>
      </w:r>
      <w:r w:rsidR="006B3FAA">
        <w:rPr>
          <w:rFonts w:ascii="Times New Roman" w:hAnsi="Times New Roman" w:cs="Times New Roman"/>
          <w:sz w:val="24"/>
          <w:szCs w:val="24"/>
        </w:rPr>
        <w:t xml:space="preserve">МП </w:t>
      </w:r>
      <w:r w:rsidR="006B3FAA" w:rsidRPr="00556F87">
        <w:rPr>
          <w:rFonts w:ascii="Times New Roman" w:hAnsi="Times New Roman" w:cs="Times New Roman"/>
          <w:sz w:val="24"/>
          <w:szCs w:val="24"/>
        </w:rPr>
        <w:t>«</w:t>
      </w:r>
      <w:r w:rsidR="006B3FAA" w:rsidRPr="0055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устойчивого экономического развития</w:t>
      </w:r>
      <w:r w:rsidR="006B3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МП</w:t>
      </w:r>
      <w:r w:rsidRPr="008E437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8E4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Энергосбережение и повышение </w:t>
      </w:r>
      <w:r w:rsidRPr="008E4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энергетической эффективности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по </w:t>
      </w:r>
      <w:r>
        <w:rPr>
          <w:rFonts w:ascii="Times New Roman" w:hAnsi="Times New Roman" w:cs="Times New Roman"/>
          <w:sz w:val="24"/>
          <w:szCs w:val="24"/>
        </w:rPr>
        <w:t>МП «</w:t>
      </w:r>
      <w:r w:rsidRPr="008E4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сельского хозяйства и расширение рынка сельскохозяйственной продукции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и </w:t>
      </w:r>
      <w:r w:rsidR="00556F87" w:rsidRPr="0055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 «Комплексные меры противодействия немедицинскому потреблению наркотических средств и их незаконному обороту»</w:t>
      </w:r>
      <w:r w:rsidR="0055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МП</w:t>
      </w:r>
      <w:r w:rsidR="00556F87" w:rsidRPr="00556F8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56F87" w:rsidRPr="0055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"Формирование современной</w:t>
      </w:r>
      <w:proofErr w:type="gramEnd"/>
      <w:r w:rsidR="00556F87" w:rsidRPr="0055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городской среды муниципального образования Каракулинское"</w:t>
      </w:r>
      <w:r w:rsidR="001E7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56F87" w:rsidRPr="00556F87" w:rsidRDefault="00556F87" w:rsidP="00556F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2AB2" w:rsidRPr="00674903" w:rsidRDefault="00E12AB2" w:rsidP="00E12AB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903">
        <w:rPr>
          <w:rFonts w:ascii="Times New Roman" w:hAnsi="Times New Roman" w:cs="Times New Roman"/>
          <w:b/>
          <w:sz w:val="24"/>
          <w:szCs w:val="24"/>
        </w:rPr>
        <w:t>Анализ отчета в части дефицита бюджета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12AB2" w:rsidRDefault="00AC37D7" w:rsidP="00E12AB2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E12AB2" w:rsidRPr="00044218">
        <w:rPr>
          <w:rFonts w:ascii="Times New Roman" w:hAnsi="Times New Roman" w:cs="Times New Roman"/>
          <w:sz w:val="24"/>
          <w:szCs w:val="24"/>
        </w:rPr>
        <w:t xml:space="preserve">юджет </w:t>
      </w:r>
      <w:r w:rsidR="00E12AB2">
        <w:rPr>
          <w:rFonts w:ascii="Times New Roman" w:hAnsi="Times New Roman" w:cs="Times New Roman"/>
          <w:sz w:val="24"/>
          <w:szCs w:val="24"/>
        </w:rPr>
        <w:t>на 202</w:t>
      </w:r>
      <w:r w:rsidR="00946E68">
        <w:rPr>
          <w:rFonts w:ascii="Times New Roman" w:hAnsi="Times New Roman" w:cs="Times New Roman"/>
          <w:sz w:val="24"/>
          <w:szCs w:val="24"/>
        </w:rPr>
        <w:t>6</w:t>
      </w:r>
      <w:r w:rsidR="00E12AB2">
        <w:rPr>
          <w:rFonts w:ascii="Times New Roman" w:hAnsi="Times New Roman" w:cs="Times New Roman"/>
          <w:sz w:val="24"/>
          <w:szCs w:val="24"/>
        </w:rPr>
        <w:t xml:space="preserve"> год установлен решением </w:t>
      </w:r>
      <w:r w:rsidR="00C40358">
        <w:rPr>
          <w:rFonts w:ascii="Times New Roman" w:hAnsi="Times New Roman" w:cs="Times New Roman"/>
          <w:sz w:val="24"/>
          <w:szCs w:val="24"/>
        </w:rPr>
        <w:t>Совета депутатов муниципального образования «</w:t>
      </w:r>
      <w:r w:rsidR="003B7F8D" w:rsidRPr="0062139D">
        <w:rPr>
          <w:rFonts w:ascii="Times New Roman" w:hAnsi="Times New Roman" w:cs="Times New Roman"/>
          <w:sz w:val="24"/>
          <w:szCs w:val="24"/>
        </w:rPr>
        <w:t>Муниципальный округ Каракулинский район Удмуртской Республики</w:t>
      </w:r>
      <w:r w:rsidR="00C40358">
        <w:rPr>
          <w:rFonts w:ascii="Times New Roman" w:hAnsi="Times New Roman" w:cs="Times New Roman"/>
          <w:sz w:val="24"/>
          <w:szCs w:val="24"/>
        </w:rPr>
        <w:t>»</w:t>
      </w:r>
      <w:r w:rsidR="00E12AB2">
        <w:rPr>
          <w:rFonts w:ascii="Times New Roman" w:hAnsi="Times New Roman" w:cs="Times New Roman"/>
          <w:sz w:val="24"/>
          <w:szCs w:val="24"/>
        </w:rPr>
        <w:t xml:space="preserve"> от </w:t>
      </w:r>
      <w:r w:rsidR="00CE324B">
        <w:rPr>
          <w:rFonts w:ascii="Times New Roman" w:hAnsi="Times New Roman" w:cs="Times New Roman"/>
          <w:sz w:val="24"/>
          <w:szCs w:val="24"/>
        </w:rPr>
        <w:t>1</w:t>
      </w:r>
      <w:r w:rsidR="00946E68">
        <w:rPr>
          <w:rFonts w:ascii="Times New Roman" w:hAnsi="Times New Roman" w:cs="Times New Roman"/>
          <w:sz w:val="24"/>
          <w:szCs w:val="24"/>
        </w:rPr>
        <w:t>8</w:t>
      </w:r>
      <w:r w:rsidR="00E12AB2">
        <w:rPr>
          <w:rFonts w:ascii="Times New Roman" w:hAnsi="Times New Roman" w:cs="Times New Roman"/>
          <w:sz w:val="24"/>
          <w:szCs w:val="24"/>
        </w:rPr>
        <w:t>.12.202</w:t>
      </w:r>
      <w:r w:rsidR="00946E68">
        <w:rPr>
          <w:rFonts w:ascii="Times New Roman" w:hAnsi="Times New Roman" w:cs="Times New Roman"/>
          <w:sz w:val="24"/>
          <w:szCs w:val="24"/>
        </w:rPr>
        <w:t>5</w:t>
      </w:r>
      <w:r w:rsidR="00E12AB2">
        <w:rPr>
          <w:rFonts w:ascii="Times New Roman" w:hAnsi="Times New Roman" w:cs="Times New Roman"/>
          <w:sz w:val="24"/>
          <w:szCs w:val="24"/>
        </w:rPr>
        <w:t xml:space="preserve"> № </w:t>
      </w:r>
      <w:r w:rsidR="00946E68">
        <w:rPr>
          <w:rFonts w:ascii="Times New Roman" w:hAnsi="Times New Roman" w:cs="Times New Roman"/>
          <w:sz w:val="24"/>
          <w:szCs w:val="24"/>
        </w:rPr>
        <w:t>43</w:t>
      </w:r>
      <w:r w:rsidR="00C40358">
        <w:rPr>
          <w:rFonts w:ascii="Times New Roman" w:hAnsi="Times New Roman" w:cs="Times New Roman"/>
          <w:sz w:val="24"/>
          <w:szCs w:val="24"/>
        </w:rPr>
        <w:t>/</w:t>
      </w:r>
      <w:r w:rsidR="00E451EE">
        <w:rPr>
          <w:rFonts w:ascii="Times New Roman" w:hAnsi="Times New Roman" w:cs="Times New Roman"/>
          <w:sz w:val="24"/>
          <w:szCs w:val="24"/>
        </w:rPr>
        <w:t>3</w:t>
      </w:r>
      <w:r w:rsidR="00C40358">
        <w:rPr>
          <w:rFonts w:ascii="Times New Roman" w:hAnsi="Times New Roman" w:cs="Times New Roman"/>
          <w:sz w:val="24"/>
          <w:szCs w:val="24"/>
        </w:rPr>
        <w:t>-2</w:t>
      </w:r>
      <w:r w:rsidR="00946E68">
        <w:rPr>
          <w:rFonts w:ascii="Times New Roman" w:hAnsi="Times New Roman" w:cs="Times New Roman"/>
          <w:sz w:val="24"/>
          <w:szCs w:val="24"/>
        </w:rPr>
        <w:t>5</w:t>
      </w:r>
      <w:r w:rsidR="00E12AB2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C4035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E451EE">
        <w:rPr>
          <w:rFonts w:ascii="Times New Roman" w:hAnsi="Times New Roman" w:cs="Times New Roman"/>
          <w:sz w:val="24"/>
          <w:szCs w:val="24"/>
        </w:rPr>
        <w:t>«</w:t>
      </w:r>
      <w:r w:rsidR="00E451EE" w:rsidRPr="0062139D">
        <w:rPr>
          <w:rFonts w:ascii="Times New Roman" w:hAnsi="Times New Roman" w:cs="Times New Roman"/>
          <w:sz w:val="24"/>
          <w:szCs w:val="24"/>
        </w:rPr>
        <w:t>Муниципальный округ Каракулинский район Удмуртской Республики</w:t>
      </w:r>
      <w:r w:rsidR="00E451EE">
        <w:rPr>
          <w:rFonts w:ascii="Times New Roman" w:hAnsi="Times New Roman" w:cs="Times New Roman"/>
          <w:sz w:val="24"/>
          <w:szCs w:val="24"/>
        </w:rPr>
        <w:t>»</w:t>
      </w:r>
      <w:r w:rsidR="00C40358">
        <w:rPr>
          <w:rFonts w:ascii="Times New Roman" w:hAnsi="Times New Roman" w:cs="Times New Roman"/>
          <w:sz w:val="24"/>
          <w:szCs w:val="24"/>
        </w:rPr>
        <w:t>»</w:t>
      </w:r>
      <w:r w:rsidR="00E12AB2">
        <w:rPr>
          <w:rFonts w:ascii="Times New Roman" w:hAnsi="Times New Roman" w:cs="Times New Roman"/>
          <w:sz w:val="24"/>
          <w:szCs w:val="24"/>
        </w:rPr>
        <w:t xml:space="preserve"> на 202</w:t>
      </w:r>
      <w:r w:rsidR="00946E68">
        <w:rPr>
          <w:rFonts w:ascii="Times New Roman" w:hAnsi="Times New Roman" w:cs="Times New Roman"/>
          <w:sz w:val="24"/>
          <w:szCs w:val="24"/>
        </w:rPr>
        <w:t>6</w:t>
      </w:r>
      <w:r w:rsidR="00E12AB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946E68">
        <w:rPr>
          <w:rFonts w:ascii="Times New Roman" w:hAnsi="Times New Roman" w:cs="Times New Roman"/>
          <w:sz w:val="24"/>
          <w:szCs w:val="24"/>
        </w:rPr>
        <w:t>7</w:t>
      </w:r>
      <w:r w:rsidR="00E12AB2">
        <w:rPr>
          <w:rFonts w:ascii="Times New Roman" w:hAnsi="Times New Roman" w:cs="Times New Roman"/>
          <w:sz w:val="24"/>
          <w:szCs w:val="24"/>
        </w:rPr>
        <w:t xml:space="preserve"> и 202</w:t>
      </w:r>
      <w:r w:rsidR="00946E68">
        <w:rPr>
          <w:rFonts w:ascii="Times New Roman" w:hAnsi="Times New Roman" w:cs="Times New Roman"/>
          <w:sz w:val="24"/>
          <w:szCs w:val="24"/>
        </w:rPr>
        <w:t>8</w:t>
      </w:r>
      <w:r w:rsidR="00E12AB2">
        <w:rPr>
          <w:rFonts w:ascii="Times New Roman" w:hAnsi="Times New Roman" w:cs="Times New Roman"/>
          <w:sz w:val="24"/>
          <w:szCs w:val="24"/>
        </w:rPr>
        <w:t xml:space="preserve"> годов» </w:t>
      </w:r>
      <w:r w:rsidR="004637A9">
        <w:rPr>
          <w:rFonts w:ascii="Times New Roman" w:hAnsi="Times New Roman" w:cs="Times New Roman"/>
          <w:sz w:val="24"/>
          <w:szCs w:val="24"/>
        </w:rPr>
        <w:t>без</w:t>
      </w:r>
      <w:r w:rsidR="009E307B">
        <w:rPr>
          <w:rFonts w:ascii="Times New Roman" w:hAnsi="Times New Roman" w:cs="Times New Roman"/>
          <w:sz w:val="24"/>
          <w:szCs w:val="24"/>
        </w:rPr>
        <w:t>дефицитным</w:t>
      </w:r>
      <w:r w:rsidR="00E12AB2">
        <w:rPr>
          <w:rFonts w:ascii="Times New Roman" w:hAnsi="Times New Roman" w:cs="Times New Roman"/>
          <w:sz w:val="24"/>
          <w:szCs w:val="24"/>
        </w:rPr>
        <w:t>.</w:t>
      </w:r>
    </w:p>
    <w:p w:rsidR="00E12AB2" w:rsidRDefault="00E12AB2" w:rsidP="00E12AB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76D6E">
        <w:rPr>
          <w:rFonts w:ascii="Times New Roman" w:hAnsi="Times New Roman" w:cs="Times New Roman"/>
          <w:sz w:val="24"/>
          <w:szCs w:val="24"/>
        </w:rPr>
        <w:t xml:space="preserve">Пунктом 3. Статьи 92.1 БК РФ установлено ограничение: дефицит местного бюджета не должен превышать </w:t>
      </w:r>
      <w:r w:rsidRPr="002F07F5">
        <w:rPr>
          <w:rFonts w:ascii="Times New Roman" w:hAnsi="Times New Roman" w:cs="Times New Roman"/>
          <w:sz w:val="24"/>
          <w:szCs w:val="24"/>
          <w:u w:val="single"/>
        </w:rPr>
        <w:t>10%</w:t>
      </w:r>
      <w:r w:rsidRPr="00D76D6E">
        <w:rPr>
          <w:rFonts w:ascii="Times New Roman" w:hAnsi="Times New Roman" w:cs="Times New Roman"/>
          <w:sz w:val="24"/>
          <w:szCs w:val="24"/>
        </w:rPr>
        <w:t xml:space="preserve">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2AB2" w:rsidRDefault="00E12AB2" w:rsidP="00E12AB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исполнения бюджета </w:t>
      </w:r>
      <w:r w:rsidR="00C40358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3B7F8D" w:rsidRPr="0062139D">
        <w:rPr>
          <w:rFonts w:ascii="Times New Roman" w:hAnsi="Times New Roman" w:cs="Times New Roman"/>
          <w:sz w:val="24"/>
          <w:szCs w:val="24"/>
        </w:rPr>
        <w:t>Муниципальный округ Каракулинский район Удмуртской Республики</w:t>
      </w:r>
      <w:r w:rsidR="00C40358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в 1 квартале 202</w:t>
      </w:r>
      <w:r w:rsidR="00946E6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сложился </w:t>
      </w:r>
      <w:r w:rsidR="006B3FAA">
        <w:rPr>
          <w:rFonts w:ascii="Times New Roman" w:hAnsi="Times New Roman" w:cs="Times New Roman"/>
          <w:sz w:val="24"/>
          <w:szCs w:val="24"/>
        </w:rPr>
        <w:t>дефицит</w:t>
      </w:r>
      <w:r>
        <w:rPr>
          <w:rFonts w:ascii="Times New Roman" w:hAnsi="Times New Roman" w:cs="Times New Roman"/>
          <w:sz w:val="24"/>
          <w:szCs w:val="24"/>
        </w:rPr>
        <w:t xml:space="preserve"> в сумме</w:t>
      </w:r>
      <w:r w:rsidR="000F7E8E">
        <w:rPr>
          <w:rFonts w:ascii="Times New Roman" w:hAnsi="Times New Roman" w:cs="Times New Roman"/>
          <w:sz w:val="24"/>
          <w:szCs w:val="24"/>
        </w:rPr>
        <w:t xml:space="preserve"> 1</w:t>
      </w:r>
      <w:r w:rsidR="006B3FAA">
        <w:rPr>
          <w:rFonts w:ascii="Times New Roman" w:hAnsi="Times New Roman" w:cs="Times New Roman"/>
          <w:sz w:val="24"/>
          <w:szCs w:val="24"/>
        </w:rPr>
        <w:t>6</w:t>
      </w:r>
      <w:r w:rsidR="000F7E8E">
        <w:rPr>
          <w:rFonts w:ascii="Times New Roman" w:hAnsi="Times New Roman" w:cs="Times New Roman"/>
          <w:sz w:val="24"/>
          <w:szCs w:val="24"/>
        </w:rPr>
        <w:t> 966,92</w:t>
      </w:r>
      <w:r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E12AB2" w:rsidRDefault="00E12AB2" w:rsidP="00E12AB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2F26">
        <w:rPr>
          <w:rFonts w:ascii="Times New Roman" w:hAnsi="Times New Roman" w:cs="Times New Roman"/>
          <w:sz w:val="24"/>
          <w:szCs w:val="24"/>
        </w:rPr>
        <w:t xml:space="preserve">Ограничения, установленные </w:t>
      </w:r>
      <w:r w:rsidRPr="000B2F26">
        <w:rPr>
          <w:rFonts w:ascii="Times New Roman" w:hAnsi="Times New Roman" w:cs="Times New Roman"/>
          <w:color w:val="000000"/>
          <w:sz w:val="24"/>
          <w:szCs w:val="24"/>
        </w:rPr>
        <w:t xml:space="preserve">п. 3 ст. 92.1. БК РФ, при исполнении бюджета </w:t>
      </w:r>
      <w:r w:rsidR="00C40358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3B7F8D" w:rsidRPr="0062139D">
        <w:rPr>
          <w:rFonts w:ascii="Times New Roman" w:hAnsi="Times New Roman" w:cs="Times New Roman"/>
          <w:sz w:val="24"/>
          <w:szCs w:val="24"/>
        </w:rPr>
        <w:t>Муниципальный округ Каракулинский район Удмуртской Республики</w:t>
      </w:r>
      <w:r w:rsidR="00C40358">
        <w:rPr>
          <w:rFonts w:ascii="Times New Roman" w:hAnsi="Times New Roman" w:cs="Times New Roman"/>
          <w:sz w:val="24"/>
          <w:szCs w:val="24"/>
        </w:rPr>
        <w:t xml:space="preserve">» </w:t>
      </w:r>
      <w:r w:rsidRPr="000B2F26">
        <w:rPr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r>
        <w:rPr>
          <w:rFonts w:ascii="Times New Roman" w:hAnsi="Times New Roman" w:cs="Times New Roman"/>
          <w:color w:val="000000"/>
          <w:sz w:val="24"/>
          <w:szCs w:val="24"/>
        </w:rPr>
        <w:t>1 квартал 202</w:t>
      </w:r>
      <w:r w:rsidR="00946E6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0B2F26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B2F26">
        <w:rPr>
          <w:rFonts w:ascii="Times New Roman" w:hAnsi="Times New Roman" w:cs="Times New Roman"/>
          <w:color w:val="000000"/>
          <w:sz w:val="24"/>
          <w:szCs w:val="24"/>
        </w:rPr>
        <w:t>, соблюдены</w:t>
      </w:r>
      <w:r w:rsidRPr="000B2F26">
        <w:rPr>
          <w:rFonts w:ascii="Times New Roman" w:hAnsi="Times New Roman" w:cs="Times New Roman"/>
          <w:sz w:val="24"/>
          <w:szCs w:val="24"/>
        </w:rPr>
        <w:t>.</w:t>
      </w:r>
    </w:p>
    <w:p w:rsidR="00E12AB2" w:rsidRPr="00666D50" w:rsidRDefault="00E12AB2" w:rsidP="00E12AB2">
      <w:pPr>
        <w:pStyle w:val="a3"/>
        <w:spacing w:before="120" w:after="0" w:line="240" w:lineRule="auto"/>
        <w:ind w:left="708"/>
        <w:jc w:val="both"/>
        <w:rPr>
          <w:rFonts w:ascii="Times New Roman" w:hAnsi="Times New Roman"/>
          <w:b/>
          <w:sz w:val="24"/>
          <w:szCs w:val="24"/>
        </w:rPr>
      </w:pPr>
      <w:r w:rsidRPr="00666D50">
        <w:rPr>
          <w:rFonts w:ascii="Times New Roman" w:hAnsi="Times New Roman"/>
          <w:b/>
          <w:sz w:val="24"/>
          <w:szCs w:val="24"/>
        </w:rPr>
        <w:t>Анализ сведений об объеме и структуре внутреннего долга, расходов на погашение и обслуживание муниципального долга</w:t>
      </w:r>
    </w:p>
    <w:p w:rsidR="00E12AB2" w:rsidRPr="00942742" w:rsidRDefault="00E12AB2" w:rsidP="00E12AB2">
      <w:pPr>
        <w:pStyle w:val="a7"/>
        <w:spacing w:after="0"/>
        <w:ind w:left="68" w:firstLine="640"/>
        <w:jc w:val="both"/>
        <w:rPr>
          <w:sz w:val="24"/>
          <w:szCs w:val="24"/>
        </w:rPr>
      </w:pPr>
      <w:r w:rsidRPr="00942742">
        <w:rPr>
          <w:sz w:val="24"/>
          <w:szCs w:val="24"/>
        </w:rPr>
        <w:t xml:space="preserve">Согласно ст. 1 </w:t>
      </w:r>
      <w:r w:rsidR="00C40358">
        <w:rPr>
          <w:sz w:val="24"/>
          <w:szCs w:val="24"/>
        </w:rPr>
        <w:t>Совета депутатов муниципального образования «</w:t>
      </w:r>
      <w:r w:rsidR="003B7F8D" w:rsidRPr="0062139D">
        <w:rPr>
          <w:sz w:val="24"/>
          <w:szCs w:val="24"/>
        </w:rPr>
        <w:t>Муниципальный округ Каракулинский район Удмуртской Республики</w:t>
      </w:r>
      <w:r w:rsidR="00C40358">
        <w:rPr>
          <w:sz w:val="24"/>
          <w:szCs w:val="24"/>
        </w:rPr>
        <w:t xml:space="preserve"> от </w:t>
      </w:r>
      <w:r w:rsidR="00985132">
        <w:rPr>
          <w:sz w:val="24"/>
          <w:szCs w:val="24"/>
        </w:rPr>
        <w:t>1</w:t>
      </w:r>
      <w:r w:rsidR="000F7E8E">
        <w:rPr>
          <w:sz w:val="24"/>
          <w:szCs w:val="24"/>
        </w:rPr>
        <w:t>8</w:t>
      </w:r>
      <w:r w:rsidR="00C40358">
        <w:rPr>
          <w:sz w:val="24"/>
          <w:szCs w:val="24"/>
        </w:rPr>
        <w:t>.12.202</w:t>
      </w:r>
      <w:r w:rsidR="000F7E8E">
        <w:rPr>
          <w:sz w:val="24"/>
          <w:szCs w:val="24"/>
        </w:rPr>
        <w:t>5</w:t>
      </w:r>
      <w:r w:rsidR="00C40358">
        <w:rPr>
          <w:sz w:val="24"/>
          <w:szCs w:val="24"/>
        </w:rPr>
        <w:t xml:space="preserve"> № </w:t>
      </w:r>
      <w:r w:rsidR="000F7E8E">
        <w:rPr>
          <w:sz w:val="24"/>
          <w:szCs w:val="24"/>
        </w:rPr>
        <w:t>43</w:t>
      </w:r>
      <w:r w:rsidR="00C40358" w:rsidRPr="00E451EE">
        <w:rPr>
          <w:sz w:val="24"/>
          <w:szCs w:val="24"/>
        </w:rPr>
        <w:t>/</w:t>
      </w:r>
      <w:r w:rsidR="00E451EE" w:rsidRPr="00E451EE">
        <w:rPr>
          <w:sz w:val="24"/>
          <w:szCs w:val="24"/>
        </w:rPr>
        <w:t>3-2</w:t>
      </w:r>
      <w:r w:rsidR="000F7E8E">
        <w:rPr>
          <w:sz w:val="24"/>
          <w:szCs w:val="24"/>
        </w:rPr>
        <w:t>5</w:t>
      </w:r>
      <w:r w:rsidR="00C40358">
        <w:rPr>
          <w:sz w:val="24"/>
          <w:szCs w:val="24"/>
        </w:rPr>
        <w:t xml:space="preserve"> «О бюджете муниципального образования «</w:t>
      </w:r>
      <w:r w:rsidR="003B7F8D" w:rsidRPr="0062139D">
        <w:rPr>
          <w:sz w:val="24"/>
          <w:szCs w:val="24"/>
        </w:rPr>
        <w:t>Муниципальный округ Каракулинский район Удмуртской Республики</w:t>
      </w:r>
      <w:r w:rsidR="00C40358">
        <w:rPr>
          <w:sz w:val="24"/>
          <w:szCs w:val="24"/>
        </w:rPr>
        <w:t>» на 202</w:t>
      </w:r>
      <w:r w:rsidR="000F7E8E">
        <w:rPr>
          <w:sz w:val="24"/>
          <w:szCs w:val="24"/>
        </w:rPr>
        <w:t>6</w:t>
      </w:r>
      <w:r w:rsidR="00C40358">
        <w:rPr>
          <w:sz w:val="24"/>
          <w:szCs w:val="24"/>
        </w:rPr>
        <w:t xml:space="preserve"> год и плановый период 202</w:t>
      </w:r>
      <w:r w:rsidR="000F7E8E">
        <w:rPr>
          <w:sz w:val="24"/>
          <w:szCs w:val="24"/>
        </w:rPr>
        <w:t>7</w:t>
      </w:r>
      <w:r w:rsidR="00C40358">
        <w:rPr>
          <w:sz w:val="24"/>
          <w:szCs w:val="24"/>
        </w:rPr>
        <w:t xml:space="preserve"> и 202</w:t>
      </w:r>
      <w:r w:rsidR="000F7E8E">
        <w:rPr>
          <w:sz w:val="24"/>
          <w:szCs w:val="24"/>
        </w:rPr>
        <w:t>8</w:t>
      </w:r>
      <w:r w:rsidR="00C40358">
        <w:rPr>
          <w:sz w:val="24"/>
          <w:szCs w:val="24"/>
        </w:rPr>
        <w:t xml:space="preserve"> годов» </w:t>
      </w:r>
      <w:r w:rsidRPr="00942742">
        <w:rPr>
          <w:sz w:val="24"/>
          <w:szCs w:val="24"/>
        </w:rPr>
        <w:t>верхний предел муниципального долга по состоянию на 01.01.202</w:t>
      </w:r>
      <w:r w:rsidR="000F7E8E">
        <w:rPr>
          <w:sz w:val="24"/>
          <w:szCs w:val="24"/>
        </w:rPr>
        <w:t>6</w:t>
      </w:r>
      <w:r w:rsidRPr="00942742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установлен</w:t>
      </w:r>
      <w:r w:rsidRPr="009427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размере </w:t>
      </w:r>
      <w:r w:rsidR="00735BA3">
        <w:rPr>
          <w:sz w:val="24"/>
          <w:szCs w:val="24"/>
        </w:rPr>
        <w:t>1</w:t>
      </w:r>
      <w:r w:rsidR="000F7E8E">
        <w:rPr>
          <w:sz w:val="24"/>
          <w:szCs w:val="24"/>
        </w:rPr>
        <w:t>4</w:t>
      </w:r>
      <w:r w:rsidR="00BC4B66">
        <w:rPr>
          <w:sz w:val="24"/>
          <w:szCs w:val="24"/>
        </w:rPr>
        <w:t> 192,0</w:t>
      </w:r>
      <w:r w:rsidRPr="00942742">
        <w:rPr>
          <w:sz w:val="24"/>
          <w:szCs w:val="24"/>
        </w:rPr>
        <w:t xml:space="preserve"> тыс. руб.</w:t>
      </w:r>
      <w:proofErr w:type="gramStart"/>
      <w:r w:rsidRPr="00942742">
        <w:rPr>
          <w:sz w:val="24"/>
          <w:szCs w:val="24"/>
        </w:rPr>
        <w:t xml:space="preserve"> </w:t>
      </w:r>
      <w:r w:rsidR="00735BA3">
        <w:rPr>
          <w:sz w:val="24"/>
          <w:szCs w:val="24"/>
        </w:rPr>
        <w:t>.</w:t>
      </w:r>
      <w:proofErr w:type="gramEnd"/>
    </w:p>
    <w:p w:rsidR="00E12AB2" w:rsidRDefault="00E12AB2" w:rsidP="00E12AB2">
      <w:pPr>
        <w:spacing w:after="0" w:line="240" w:lineRule="auto"/>
        <w:ind w:left="68" w:firstLine="641"/>
        <w:jc w:val="both"/>
        <w:rPr>
          <w:rFonts w:ascii="Times New Roman" w:hAnsi="Times New Roman" w:cs="Times New Roman"/>
          <w:sz w:val="24"/>
          <w:szCs w:val="24"/>
        </w:rPr>
      </w:pPr>
      <w:r w:rsidRPr="00CE350C">
        <w:rPr>
          <w:rFonts w:ascii="Times New Roman" w:hAnsi="Times New Roman" w:cs="Times New Roman"/>
          <w:sz w:val="24"/>
          <w:szCs w:val="24"/>
        </w:rPr>
        <w:t xml:space="preserve">Согласно отчету об исполнении бюджета </w:t>
      </w:r>
      <w:r w:rsidR="00E57524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3B7F8D" w:rsidRPr="0062139D">
        <w:rPr>
          <w:rFonts w:ascii="Times New Roman" w:hAnsi="Times New Roman" w:cs="Times New Roman"/>
          <w:sz w:val="24"/>
          <w:szCs w:val="24"/>
        </w:rPr>
        <w:t>Муниципальный округ Каракулинский район Удмуртской Республики</w:t>
      </w:r>
      <w:r w:rsidR="00E57524">
        <w:rPr>
          <w:rFonts w:ascii="Times New Roman" w:hAnsi="Times New Roman" w:cs="Times New Roman"/>
          <w:sz w:val="24"/>
          <w:szCs w:val="24"/>
        </w:rPr>
        <w:t xml:space="preserve">» </w:t>
      </w:r>
      <w:r w:rsidRPr="00CE350C">
        <w:rPr>
          <w:rFonts w:ascii="Times New Roman" w:hAnsi="Times New Roman" w:cs="Times New Roman"/>
          <w:sz w:val="24"/>
          <w:szCs w:val="24"/>
        </w:rPr>
        <w:t>за 1 квартал 202</w:t>
      </w:r>
      <w:r w:rsidR="000F7E8E">
        <w:rPr>
          <w:rFonts w:ascii="Times New Roman" w:hAnsi="Times New Roman" w:cs="Times New Roman"/>
          <w:sz w:val="24"/>
          <w:szCs w:val="24"/>
        </w:rPr>
        <w:t>6</w:t>
      </w:r>
      <w:r w:rsidRPr="00CE350C">
        <w:rPr>
          <w:rFonts w:ascii="Times New Roman" w:hAnsi="Times New Roman" w:cs="Times New Roman"/>
          <w:sz w:val="24"/>
          <w:szCs w:val="24"/>
        </w:rPr>
        <w:t xml:space="preserve"> года, объем муниципального долга на 01.04.202</w:t>
      </w:r>
      <w:r w:rsidR="000F7E8E">
        <w:rPr>
          <w:rFonts w:ascii="Times New Roman" w:hAnsi="Times New Roman" w:cs="Times New Roman"/>
          <w:sz w:val="24"/>
          <w:szCs w:val="24"/>
        </w:rPr>
        <w:t>6</w:t>
      </w:r>
      <w:r w:rsidRPr="00CE350C">
        <w:rPr>
          <w:rFonts w:ascii="Times New Roman" w:hAnsi="Times New Roman" w:cs="Times New Roman"/>
          <w:sz w:val="24"/>
          <w:szCs w:val="24"/>
        </w:rPr>
        <w:t xml:space="preserve"> составлял </w:t>
      </w:r>
      <w:r w:rsidR="004B7E02" w:rsidRPr="00C65C7E">
        <w:rPr>
          <w:rFonts w:ascii="Times New Roman" w:hAnsi="Times New Roman" w:cs="Times New Roman"/>
          <w:sz w:val="24"/>
          <w:szCs w:val="24"/>
        </w:rPr>
        <w:t>15</w:t>
      </w:r>
      <w:r w:rsidR="00BC4B66">
        <w:rPr>
          <w:rFonts w:ascii="Times New Roman" w:hAnsi="Times New Roman" w:cs="Times New Roman"/>
          <w:sz w:val="24"/>
          <w:szCs w:val="24"/>
        </w:rPr>
        <w:t>,00</w:t>
      </w:r>
      <w:r w:rsidRPr="00CE350C">
        <w:rPr>
          <w:rFonts w:ascii="Times New Roman" w:hAnsi="Times New Roman" w:cs="Times New Roman"/>
          <w:sz w:val="24"/>
          <w:szCs w:val="24"/>
        </w:rPr>
        <w:t xml:space="preserve"> тыс. руб.</w:t>
      </w:r>
      <w:r>
        <w:rPr>
          <w:rFonts w:ascii="Times New Roman" w:hAnsi="Times New Roman" w:cs="Times New Roman"/>
          <w:sz w:val="24"/>
          <w:szCs w:val="24"/>
        </w:rPr>
        <w:t>, что не превышает установленные Решением о бюджете значения.</w:t>
      </w:r>
    </w:p>
    <w:p w:rsidR="00E12AB2" w:rsidRPr="001B2FCD" w:rsidRDefault="00E12AB2" w:rsidP="00E12AB2">
      <w:pPr>
        <w:pStyle w:val="a7"/>
        <w:spacing w:after="0"/>
        <w:ind w:left="68" w:firstLine="641"/>
        <w:jc w:val="both"/>
        <w:rPr>
          <w:sz w:val="24"/>
          <w:szCs w:val="24"/>
        </w:rPr>
      </w:pPr>
      <w:r w:rsidRPr="001B2FCD">
        <w:rPr>
          <w:sz w:val="24"/>
          <w:szCs w:val="24"/>
        </w:rPr>
        <w:t xml:space="preserve">Предельный объем расходов на облуживание муниципального долга </w:t>
      </w:r>
      <w:r w:rsidR="00E57524">
        <w:rPr>
          <w:sz w:val="24"/>
          <w:szCs w:val="24"/>
        </w:rPr>
        <w:t>муниципального образования «</w:t>
      </w:r>
      <w:r w:rsidR="003B7F8D" w:rsidRPr="0062139D">
        <w:rPr>
          <w:sz w:val="24"/>
          <w:szCs w:val="24"/>
        </w:rPr>
        <w:t>Муниципальный округ Каракулинский район Удмуртской Республики</w:t>
      </w:r>
      <w:r w:rsidR="00E57524">
        <w:rPr>
          <w:sz w:val="24"/>
          <w:szCs w:val="24"/>
        </w:rPr>
        <w:t xml:space="preserve">» </w:t>
      </w:r>
      <w:r w:rsidRPr="001B2FCD">
        <w:rPr>
          <w:sz w:val="24"/>
          <w:szCs w:val="24"/>
        </w:rPr>
        <w:t xml:space="preserve">утвержден статьей </w:t>
      </w:r>
      <w:r w:rsidR="00621CAA">
        <w:rPr>
          <w:sz w:val="24"/>
          <w:szCs w:val="24"/>
        </w:rPr>
        <w:t>10 п.2</w:t>
      </w:r>
      <w:r w:rsidRPr="001B2FCD">
        <w:rPr>
          <w:sz w:val="24"/>
          <w:szCs w:val="24"/>
        </w:rPr>
        <w:t xml:space="preserve"> Решения о бюджете на 20</w:t>
      </w:r>
      <w:r>
        <w:rPr>
          <w:sz w:val="24"/>
          <w:szCs w:val="24"/>
        </w:rPr>
        <w:t>2</w:t>
      </w:r>
      <w:r w:rsidR="000F7E8E">
        <w:rPr>
          <w:sz w:val="24"/>
          <w:szCs w:val="24"/>
        </w:rPr>
        <w:t>6</w:t>
      </w:r>
      <w:r w:rsidRPr="001B2FCD">
        <w:rPr>
          <w:sz w:val="24"/>
          <w:szCs w:val="24"/>
        </w:rPr>
        <w:t xml:space="preserve"> год в сумме </w:t>
      </w:r>
      <w:r w:rsidR="004B7E02">
        <w:rPr>
          <w:sz w:val="24"/>
          <w:szCs w:val="24"/>
        </w:rPr>
        <w:t>1</w:t>
      </w:r>
      <w:r w:rsidR="00B0327A">
        <w:rPr>
          <w:sz w:val="24"/>
          <w:szCs w:val="24"/>
        </w:rPr>
        <w:t>5,</w:t>
      </w:r>
      <w:r w:rsidR="00BC4B66">
        <w:rPr>
          <w:sz w:val="24"/>
          <w:szCs w:val="24"/>
        </w:rPr>
        <w:t>00</w:t>
      </w:r>
      <w:r w:rsidRPr="001B2FCD">
        <w:rPr>
          <w:sz w:val="24"/>
          <w:szCs w:val="24"/>
        </w:rPr>
        <w:t xml:space="preserve"> тыс. руб. </w:t>
      </w:r>
    </w:p>
    <w:p w:rsidR="00E12AB2" w:rsidRDefault="00E12AB2" w:rsidP="00E12AB2">
      <w:pPr>
        <w:pStyle w:val="a7"/>
        <w:spacing w:after="0"/>
        <w:ind w:left="68" w:firstLine="640"/>
        <w:jc w:val="both"/>
        <w:rPr>
          <w:sz w:val="24"/>
          <w:szCs w:val="24"/>
        </w:rPr>
      </w:pPr>
      <w:r w:rsidRPr="001B2FCD">
        <w:rPr>
          <w:sz w:val="24"/>
          <w:szCs w:val="24"/>
        </w:rPr>
        <w:t xml:space="preserve">Кассовые расходы бюджета </w:t>
      </w:r>
      <w:r w:rsidR="00E57524">
        <w:rPr>
          <w:sz w:val="24"/>
          <w:szCs w:val="24"/>
        </w:rPr>
        <w:t>муниципального образования «</w:t>
      </w:r>
      <w:r w:rsidR="003B7F8D" w:rsidRPr="0062139D">
        <w:rPr>
          <w:sz w:val="24"/>
          <w:szCs w:val="24"/>
        </w:rPr>
        <w:t>Муниципальный округ Каракулинский район Удмуртской Республики</w:t>
      </w:r>
      <w:r w:rsidR="00E57524">
        <w:rPr>
          <w:sz w:val="24"/>
          <w:szCs w:val="24"/>
        </w:rPr>
        <w:t xml:space="preserve">» </w:t>
      </w:r>
      <w:r>
        <w:rPr>
          <w:sz w:val="24"/>
          <w:szCs w:val="24"/>
        </w:rPr>
        <w:t>в 1 квартале 202</w:t>
      </w:r>
      <w:r w:rsidR="000F7E8E">
        <w:rPr>
          <w:sz w:val="24"/>
          <w:szCs w:val="24"/>
        </w:rPr>
        <w:t>6</w:t>
      </w:r>
      <w:r>
        <w:rPr>
          <w:sz w:val="24"/>
          <w:szCs w:val="24"/>
        </w:rPr>
        <w:t xml:space="preserve"> года </w:t>
      </w:r>
      <w:r w:rsidRPr="001B2FCD">
        <w:rPr>
          <w:sz w:val="24"/>
          <w:szCs w:val="24"/>
        </w:rPr>
        <w:t xml:space="preserve">по разделу «Обслуживание государственного и муниципального бюджета долга» составили </w:t>
      </w:r>
      <w:r w:rsidR="00487D07">
        <w:rPr>
          <w:sz w:val="24"/>
          <w:szCs w:val="24"/>
        </w:rPr>
        <w:t>0</w:t>
      </w:r>
      <w:r w:rsidRPr="001B2FCD">
        <w:rPr>
          <w:sz w:val="24"/>
          <w:szCs w:val="24"/>
        </w:rPr>
        <w:t xml:space="preserve"> тыс. руб. или </w:t>
      </w:r>
      <w:r w:rsidR="00487D07">
        <w:rPr>
          <w:sz w:val="24"/>
          <w:szCs w:val="24"/>
        </w:rPr>
        <w:t>0</w:t>
      </w:r>
      <w:r w:rsidRPr="009603DC">
        <w:rPr>
          <w:sz w:val="24"/>
          <w:szCs w:val="24"/>
        </w:rPr>
        <w:t>%</w:t>
      </w:r>
      <w:r w:rsidRPr="001B2FCD">
        <w:rPr>
          <w:sz w:val="24"/>
          <w:szCs w:val="24"/>
        </w:rPr>
        <w:t xml:space="preserve"> от утвержденных </w:t>
      </w:r>
      <w:r>
        <w:rPr>
          <w:sz w:val="24"/>
          <w:szCs w:val="24"/>
        </w:rPr>
        <w:t xml:space="preserve">годовых </w:t>
      </w:r>
      <w:r w:rsidRPr="001B2FCD">
        <w:rPr>
          <w:sz w:val="24"/>
          <w:szCs w:val="24"/>
        </w:rPr>
        <w:t>бюджетных ассигнований.</w:t>
      </w:r>
    </w:p>
    <w:p w:rsidR="00E12AB2" w:rsidRDefault="00E12AB2" w:rsidP="00E12AB2">
      <w:pPr>
        <w:pStyle w:val="ConsPlusNormal"/>
        <w:ind w:left="68" w:firstLine="640"/>
        <w:jc w:val="both"/>
      </w:pPr>
      <w:r w:rsidRPr="00933F4F">
        <w:t xml:space="preserve">При исполнении бюджета </w:t>
      </w:r>
      <w:r w:rsidR="00E57524">
        <w:t>муниципального образования «</w:t>
      </w:r>
      <w:r w:rsidR="003B7F8D" w:rsidRPr="0062139D">
        <w:t>Муниципальный округ Каракулинский район Удмуртской Республики</w:t>
      </w:r>
      <w:r w:rsidR="00E57524">
        <w:t xml:space="preserve">» </w:t>
      </w:r>
      <w:r>
        <w:t>в 1 квартале 202</w:t>
      </w:r>
      <w:r w:rsidR="000F7E8E">
        <w:t>6</w:t>
      </w:r>
      <w:r>
        <w:t xml:space="preserve"> года </w:t>
      </w:r>
      <w:r w:rsidRPr="00933F4F">
        <w:t xml:space="preserve">законодательные ограничения (ч. 2 ст. 111 БК РФ) в части расходов на обслуживание муниципального долга, соблюдены. </w:t>
      </w:r>
    </w:p>
    <w:p w:rsidR="00E12AB2" w:rsidRPr="008C08E1" w:rsidRDefault="00E12AB2" w:rsidP="00E12AB2">
      <w:pPr>
        <w:spacing w:before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8E1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E12AB2" w:rsidRPr="00B211CC" w:rsidRDefault="00E12AB2" w:rsidP="00E12AB2">
      <w:pPr>
        <w:pStyle w:val="a3"/>
        <w:numPr>
          <w:ilvl w:val="0"/>
          <w:numId w:val="7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511618">
        <w:rPr>
          <w:rFonts w:ascii="Times New Roman" w:hAnsi="Times New Roman"/>
          <w:sz w:val="24"/>
          <w:szCs w:val="24"/>
        </w:rPr>
        <w:t xml:space="preserve">Доходы бюджета </w:t>
      </w:r>
      <w:r w:rsidR="00E57524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3B7F8D" w:rsidRPr="0062139D">
        <w:rPr>
          <w:rFonts w:ascii="Times New Roman" w:hAnsi="Times New Roman" w:cs="Times New Roman"/>
          <w:sz w:val="24"/>
          <w:szCs w:val="24"/>
        </w:rPr>
        <w:t>Муниципальный округ Каракулинский район Удмуртской Республики</w:t>
      </w:r>
      <w:r w:rsidR="00E57524">
        <w:rPr>
          <w:rFonts w:ascii="Times New Roman" w:hAnsi="Times New Roman" w:cs="Times New Roman"/>
          <w:sz w:val="24"/>
          <w:szCs w:val="24"/>
        </w:rPr>
        <w:t xml:space="preserve">» </w:t>
      </w:r>
      <w:r w:rsidRPr="00511618">
        <w:rPr>
          <w:rFonts w:ascii="Times New Roman" w:hAnsi="Times New Roman"/>
          <w:sz w:val="24"/>
          <w:szCs w:val="24"/>
        </w:rPr>
        <w:t xml:space="preserve">за </w:t>
      </w:r>
      <w:r>
        <w:rPr>
          <w:rFonts w:ascii="Times New Roman" w:hAnsi="Times New Roman"/>
          <w:sz w:val="24"/>
          <w:szCs w:val="24"/>
        </w:rPr>
        <w:t>1 квартал 202</w:t>
      </w:r>
      <w:r w:rsidR="000F7E8E">
        <w:rPr>
          <w:rFonts w:ascii="Times New Roman" w:hAnsi="Times New Roman"/>
          <w:sz w:val="24"/>
          <w:szCs w:val="24"/>
        </w:rPr>
        <w:t>6</w:t>
      </w:r>
      <w:r w:rsidRPr="00511618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а</w:t>
      </w:r>
      <w:r w:rsidRPr="00511618">
        <w:rPr>
          <w:rFonts w:ascii="Times New Roman" w:hAnsi="Times New Roman"/>
          <w:sz w:val="24"/>
          <w:szCs w:val="24"/>
        </w:rPr>
        <w:t xml:space="preserve"> исполнены в сумме </w:t>
      </w:r>
      <w:r w:rsidR="00642EF8">
        <w:rPr>
          <w:rFonts w:ascii="Times New Roman" w:hAnsi="Times New Roman"/>
          <w:sz w:val="24"/>
          <w:szCs w:val="24"/>
        </w:rPr>
        <w:t>1</w:t>
      </w:r>
      <w:r w:rsidR="00D61F0E">
        <w:rPr>
          <w:rFonts w:ascii="Times New Roman" w:hAnsi="Times New Roman"/>
          <w:sz w:val="24"/>
          <w:szCs w:val="24"/>
        </w:rPr>
        <w:t>3</w:t>
      </w:r>
      <w:r w:rsidR="000F7E8E">
        <w:rPr>
          <w:rFonts w:ascii="Times New Roman" w:hAnsi="Times New Roman"/>
          <w:sz w:val="24"/>
          <w:szCs w:val="24"/>
        </w:rPr>
        <w:t>8 794,79</w:t>
      </w:r>
      <w:r w:rsidRPr="00511618">
        <w:rPr>
          <w:rFonts w:ascii="Times New Roman" w:hAnsi="Times New Roman"/>
          <w:sz w:val="24"/>
          <w:szCs w:val="24"/>
        </w:rPr>
        <w:t xml:space="preserve"> тыс. руб. или </w:t>
      </w:r>
      <w:r w:rsidR="00B0327A">
        <w:rPr>
          <w:rFonts w:ascii="Times New Roman" w:hAnsi="Times New Roman"/>
          <w:sz w:val="24"/>
          <w:szCs w:val="24"/>
        </w:rPr>
        <w:t>1</w:t>
      </w:r>
      <w:r w:rsidR="000F7E8E">
        <w:rPr>
          <w:rFonts w:ascii="Times New Roman" w:hAnsi="Times New Roman"/>
          <w:sz w:val="24"/>
          <w:szCs w:val="24"/>
        </w:rPr>
        <w:t>6</w:t>
      </w:r>
      <w:r w:rsidR="00642EF8">
        <w:rPr>
          <w:rFonts w:ascii="Times New Roman" w:hAnsi="Times New Roman"/>
          <w:sz w:val="24"/>
          <w:szCs w:val="24"/>
        </w:rPr>
        <w:t>,</w:t>
      </w:r>
      <w:r w:rsidR="00BA0760">
        <w:rPr>
          <w:rFonts w:ascii="Times New Roman" w:hAnsi="Times New Roman"/>
          <w:sz w:val="24"/>
          <w:szCs w:val="24"/>
        </w:rPr>
        <w:t>0</w:t>
      </w:r>
      <w:r w:rsidRPr="00511618">
        <w:rPr>
          <w:rFonts w:ascii="Times New Roman" w:hAnsi="Times New Roman"/>
          <w:sz w:val="24"/>
          <w:szCs w:val="24"/>
        </w:rPr>
        <w:t xml:space="preserve">% к утвержденным </w:t>
      </w:r>
      <w:r>
        <w:rPr>
          <w:rFonts w:ascii="Times New Roman" w:hAnsi="Times New Roman"/>
          <w:sz w:val="24"/>
          <w:szCs w:val="24"/>
        </w:rPr>
        <w:t xml:space="preserve">годовым </w:t>
      </w:r>
      <w:r w:rsidRPr="00511618">
        <w:rPr>
          <w:rFonts w:ascii="Times New Roman" w:hAnsi="Times New Roman"/>
          <w:sz w:val="24"/>
          <w:szCs w:val="24"/>
        </w:rPr>
        <w:t xml:space="preserve">бюджетным </w:t>
      </w:r>
      <w:r w:rsidRPr="00511618">
        <w:rPr>
          <w:rFonts w:ascii="Times New Roman" w:hAnsi="Times New Roman"/>
          <w:sz w:val="24"/>
          <w:szCs w:val="24"/>
        </w:rPr>
        <w:lastRenderedPageBreak/>
        <w:t>назначениям.</w:t>
      </w:r>
      <w:r w:rsidRPr="00511618">
        <w:rPr>
          <w:rFonts w:ascii="Times New Roman" w:eastAsia="Times New Roman" w:hAnsi="Times New Roman"/>
          <w:sz w:val="24"/>
          <w:szCs w:val="24"/>
        </w:rPr>
        <w:t xml:space="preserve"> При этом по налоговым и неналоговым доходам </w:t>
      </w:r>
      <w:r>
        <w:rPr>
          <w:rFonts w:ascii="Times New Roman" w:eastAsia="Times New Roman" w:hAnsi="Times New Roman"/>
          <w:sz w:val="24"/>
          <w:szCs w:val="24"/>
        </w:rPr>
        <w:t xml:space="preserve">поступления составили </w:t>
      </w:r>
      <w:r w:rsidR="00D61F0E">
        <w:rPr>
          <w:rFonts w:ascii="Times New Roman" w:eastAsia="Times New Roman" w:hAnsi="Times New Roman"/>
          <w:sz w:val="24"/>
          <w:szCs w:val="24"/>
        </w:rPr>
        <w:t>5</w:t>
      </w:r>
      <w:r w:rsidR="000F7E8E">
        <w:rPr>
          <w:rFonts w:ascii="Times New Roman" w:eastAsia="Times New Roman" w:hAnsi="Times New Roman"/>
          <w:sz w:val="24"/>
          <w:szCs w:val="24"/>
        </w:rPr>
        <w:t>4 877,34</w:t>
      </w:r>
      <w:r>
        <w:rPr>
          <w:rFonts w:ascii="Times New Roman" w:eastAsia="Times New Roman" w:hAnsi="Times New Roman"/>
          <w:sz w:val="24"/>
          <w:szCs w:val="24"/>
        </w:rPr>
        <w:t xml:space="preserve"> тыс. руб. (</w:t>
      </w:r>
      <w:r w:rsidR="00B0327A">
        <w:rPr>
          <w:rFonts w:ascii="Times New Roman" w:eastAsia="Times New Roman" w:hAnsi="Times New Roman"/>
          <w:sz w:val="24"/>
          <w:szCs w:val="24"/>
        </w:rPr>
        <w:t>1</w:t>
      </w:r>
      <w:r w:rsidR="000F7E8E">
        <w:rPr>
          <w:rFonts w:ascii="Times New Roman" w:eastAsia="Times New Roman" w:hAnsi="Times New Roman"/>
          <w:sz w:val="24"/>
          <w:szCs w:val="24"/>
        </w:rPr>
        <w:t>4,8</w:t>
      </w:r>
      <w:r>
        <w:rPr>
          <w:rFonts w:ascii="Times New Roman" w:eastAsia="Times New Roman" w:hAnsi="Times New Roman"/>
          <w:sz w:val="24"/>
          <w:szCs w:val="24"/>
        </w:rPr>
        <w:t>% от годовых назначений),</w:t>
      </w:r>
      <w:r w:rsidRPr="00511618">
        <w:rPr>
          <w:rFonts w:ascii="Times New Roman" w:eastAsia="Times New Roman" w:hAnsi="Times New Roman"/>
          <w:sz w:val="24"/>
          <w:szCs w:val="24"/>
        </w:rPr>
        <w:t xml:space="preserve"> по безвозмездным поступлениям </w:t>
      </w:r>
      <w:r>
        <w:rPr>
          <w:rFonts w:ascii="Times New Roman" w:eastAsia="Times New Roman" w:hAnsi="Times New Roman"/>
          <w:sz w:val="24"/>
          <w:szCs w:val="24"/>
        </w:rPr>
        <w:t xml:space="preserve">– </w:t>
      </w:r>
      <w:r w:rsidR="000F7E8E">
        <w:rPr>
          <w:rFonts w:ascii="Times New Roman" w:eastAsia="Times New Roman" w:hAnsi="Times New Roman"/>
          <w:sz w:val="24"/>
          <w:szCs w:val="24"/>
        </w:rPr>
        <w:t>83 917,44</w:t>
      </w:r>
      <w:r>
        <w:rPr>
          <w:rFonts w:ascii="Times New Roman" w:eastAsia="Times New Roman" w:hAnsi="Times New Roman"/>
          <w:sz w:val="24"/>
          <w:szCs w:val="24"/>
        </w:rPr>
        <w:t xml:space="preserve"> тыс. </w:t>
      </w:r>
      <w:r w:rsidRPr="00B211CC">
        <w:rPr>
          <w:rFonts w:ascii="Times New Roman" w:eastAsia="Times New Roman" w:hAnsi="Times New Roman" w:cs="Times New Roman"/>
          <w:sz w:val="24"/>
          <w:szCs w:val="24"/>
        </w:rPr>
        <w:t>руб. (</w:t>
      </w:r>
      <w:r w:rsidR="00B0327A">
        <w:rPr>
          <w:rFonts w:ascii="Times New Roman" w:eastAsia="Times New Roman" w:hAnsi="Times New Roman" w:cs="Times New Roman"/>
          <w:sz w:val="24"/>
          <w:szCs w:val="24"/>
        </w:rPr>
        <w:t>16</w:t>
      </w:r>
      <w:r w:rsidR="00642EF8">
        <w:rPr>
          <w:rFonts w:ascii="Times New Roman" w:eastAsia="Times New Roman" w:hAnsi="Times New Roman" w:cs="Times New Roman"/>
          <w:sz w:val="24"/>
          <w:szCs w:val="24"/>
        </w:rPr>
        <w:t>,</w:t>
      </w:r>
      <w:r w:rsidR="000F7E8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211CC">
        <w:rPr>
          <w:rFonts w:ascii="Times New Roman" w:eastAsia="Times New Roman" w:hAnsi="Times New Roman" w:cs="Times New Roman"/>
          <w:sz w:val="24"/>
          <w:szCs w:val="24"/>
        </w:rPr>
        <w:t>%).</w:t>
      </w:r>
    </w:p>
    <w:p w:rsidR="00E12AB2" w:rsidRPr="00B211CC" w:rsidRDefault="00E12AB2" w:rsidP="00E12AB2">
      <w:pPr>
        <w:numPr>
          <w:ilvl w:val="0"/>
          <w:numId w:val="7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B211CC">
        <w:rPr>
          <w:rFonts w:ascii="Times New Roman" w:hAnsi="Times New Roman" w:cs="Times New Roman"/>
          <w:sz w:val="24"/>
          <w:szCs w:val="24"/>
        </w:rPr>
        <w:t>Относительно аналогичного периода прошлого года в 1 квартале 202</w:t>
      </w:r>
      <w:r w:rsidR="000F7E8E">
        <w:rPr>
          <w:rFonts w:ascii="Times New Roman" w:hAnsi="Times New Roman" w:cs="Times New Roman"/>
          <w:sz w:val="24"/>
          <w:szCs w:val="24"/>
        </w:rPr>
        <w:t>6</w:t>
      </w:r>
      <w:r w:rsidRPr="00B211CC">
        <w:rPr>
          <w:rFonts w:ascii="Times New Roman" w:hAnsi="Times New Roman" w:cs="Times New Roman"/>
          <w:sz w:val="24"/>
          <w:szCs w:val="24"/>
        </w:rPr>
        <w:t xml:space="preserve"> года отмечено </w:t>
      </w:r>
      <w:r w:rsidR="00642EF8">
        <w:rPr>
          <w:rFonts w:ascii="Times New Roman" w:hAnsi="Times New Roman" w:cs="Times New Roman"/>
          <w:sz w:val="24"/>
          <w:szCs w:val="24"/>
        </w:rPr>
        <w:t>у</w:t>
      </w:r>
      <w:r w:rsidR="000F7E8E">
        <w:rPr>
          <w:rFonts w:ascii="Times New Roman" w:hAnsi="Times New Roman" w:cs="Times New Roman"/>
          <w:sz w:val="24"/>
          <w:szCs w:val="24"/>
        </w:rPr>
        <w:t>меньшение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11CC">
        <w:rPr>
          <w:rFonts w:ascii="Times New Roman" w:hAnsi="Times New Roman" w:cs="Times New Roman"/>
          <w:sz w:val="24"/>
          <w:szCs w:val="24"/>
        </w:rPr>
        <w:t xml:space="preserve">доли налоговых и неналоговых доходов бюджета </w:t>
      </w:r>
      <w:r>
        <w:rPr>
          <w:rFonts w:ascii="Times New Roman" w:hAnsi="Times New Roman" w:cs="Times New Roman"/>
          <w:sz w:val="24"/>
          <w:szCs w:val="24"/>
        </w:rPr>
        <w:t xml:space="preserve">с одновременным </w:t>
      </w:r>
      <w:r w:rsidR="000F7E8E">
        <w:rPr>
          <w:rFonts w:ascii="Times New Roman" w:hAnsi="Times New Roman" w:cs="Times New Roman"/>
          <w:sz w:val="24"/>
          <w:szCs w:val="24"/>
        </w:rPr>
        <w:t>увеличением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11CC">
        <w:rPr>
          <w:rFonts w:ascii="Times New Roman" w:hAnsi="Times New Roman" w:cs="Times New Roman"/>
          <w:sz w:val="24"/>
          <w:szCs w:val="24"/>
        </w:rPr>
        <w:t xml:space="preserve">доли безвозмездных поступлений. </w:t>
      </w:r>
    </w:p>
    <w:p w:rsidR="00E12AB2" w:rsidRPr="00B211CC" w:rsidRDefault="00E12AB2" w:rsidP="00E12AB2">
      <w:pPr>
        <w:pStyle w:val="a3"/>
        <w:numPr>
          <w:ilvl w:val="0"/>
          <w:numId w:val="7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B211CC">
        <w:rPr>
          <w:rFonts w:ascii="Times New Roman" w:hAnsi="Times New Roman" w:cs="Times New Roman"/>
          <w:sz w:val="24"/>
          <w:szCs w:val="24"/>
        </w:rPr>
        <w:t xml:space="preserve">Расходы бюджета за </w:t>
      </w:r>
      <w:r>
        <w:rPr>
          <w:rFonts w:ascii="Times New Roman" w:hAnsi="Times New Roman" w:cs="Times New Roman"/>
          <w:sz w:val="24"/>
          <w:szCs w:val="24"/>
        </w:rPr>
        <w:t>1 квартал 202</w:t>
      </w:r>
      <w:r w:rsidR="000F7E8E">
        <w:rPr>
          <w:rFonts w:ascii="Times New Roman" w:hAnsi="Times New Roman" w:cs="Times New Roman"/>
          <w:sz w:val="24"/>
          <w:szCs w:val="24"/>
        </w:rPr>
        <w:t>6</w:t>
      </w:r>
      <w:r w:rsidRPr="00B211CC">
        <w:rPr>
          <w:rFonts w:ascii="Times New Roman" w:hAnsi="Times New Roman" w:cs="Times New Roman"/>
          <w:sz w:val="24"/>
          <w:szCs w:val="24"/>
        </w:rPr>
        <w:t xml:space="preserve"> года исполнены в сумме </w:t>
      </w:r>
      <w:r w:rsidR="00BA0760">
        <w:rPr>
          <w:rFonts w:ascii="Times New Roman" w:hAnsi="Times New Roman" w:cs="Times New Roman"/>
          <w:sz w:val="24"/>
          <w:szCs w:val="24"/>
        </w:rPr>
        <w:t>1</w:t>
      </w:r>
      <w:r w:rsidR="000F7E8E">
        <w:rPr>
          <w:rFonts w:ascii="Times New Roman" w:hAnsi="Times New Roman" w:cs="Times New Roman"/>
          <w:sz w:val="24"/>
          <w:szCs w:val="24"/>
        </w:rPr>
        <w:t>55</w:t>
      </w:r>
      <w:r w:rsidR="009951CB">
        <w:rPr>
          <w:rFonts w:ascii="Times New Roman" w:hAnsi="Times New Roman" w:cs="Times New Roman"/>
          <w:sz w:val="24"/>
          <w:szCs w:val="24"/>
        </w:rPr>
        <w:t xml:space="preserve"> </w:t>
      </w:r>
      <w:r w:rsidR="000F7E8E">
        <w:rPr>
          <w:rFonts w:ascii="Times New Roman" w:hAnsi="Times New Roman" w:cs="Times New Roman"/>
          <w:sz w:val="24"/>
          <w:szCs w:val="24"/>
        </w:rPr>
        <w:t>761,70</w:t>
      </w:r>
      <w:r w:rsidRPr="00B211CC">
        <w:rPr>
          <w:rFonts w:ascii="Times New Roman" w:hAnsi="Times New Roman" w:cs="Times New Roman"/>
          <w:sz w:val="24"/>
          <w:szCs w:val="24"/>
        </w:rPr>
        <w:t xml:space="preserve"> тыс. руб., что составляет </w:t>
      </w:r>
      <w:r w:rsidR="00D61F0E">
        <w:rPr>
          <w:rFonts w:ascii="Times New Roman" w:hAnsi="Times New Roman" w:cs="Times New Roman"/>
          <w:sz w:val="24"/>
          <w:szCs w:val="24"/>
        </w:rPr>
        <w:t>1</w:t>
      </w:r>
      <w:r w:rsidR="000F7E8E">
        <w:rPr>
          <w:rFonts w:ascii="Times New Roman" w:hAnsi="Times New Roman" w:cs="Times New Roman"/>
          <w:sz w:val="24"/>
          <w:szCs w:val="24"/>
        </w:rPr>
        <w:t>8</w:t>
      </w:r>
      <w:r w:rsidR="00BA0760">
        <w:rPr>
          <w:rFonts w:ascii="Times New Roman" w:hAnsi="Times New Roman" w:cs="Times New Roman"/>
          <w:sz w:val="24"/>
          <w:szCs w:val="24"/>
        </w:rPr>
        <w:t>,</w:t>
      </w:r>
      <w:r w:rsidR="00642EF8">
        <w:rPr>
          <w:rFonts w:ascii="Times New Roman" w:hAnsi="Times New Roman" w:cs="Times New Roman"/>
          <w:sz w:val="24"/>
          <w:szCs w:val="24"/>
        </w:rPr>
        <w:t>0</w:t>
      </w:r>
      <w:r w:rsidR="00BA0760">
        <w:rPr>
          <w:rFonts w:ascii="Times New Roman" w:hAnsi="Times New Roman" w:cs="Times New Roman"/>
          <w:sz w:val="24"/>
          <w:szCs w:val="24"/>
        </w:rPr>
        <w:t xml:space="preserve">% от </w:t>
      </w:r>
      <w:r w:rsidRPr="00B211CC">
        <w:rPr>
          <w:rFonts w:ascii="Times New Roman" w:hAnsi="Times New Roman" w:cs="Times New Roman"/>
          <w:sz w:val="24"/>
          <w:szCs w:val="24"/>
        </w:rPr>
        <w:t>утвержденных годовых бюджетных ассигнований.</w:t>
      </w:r>
    </w:p>
    <w:p w:rsidR="00E12AB2" w:rsidRPr="00B211CC" w:rsidRDefault="00E12AB2" w:rsidP="00E12AB2">
      <w:pPr>
        <w:numPr>
          <w:ilvl w:val="0"/>
          <w:numId w:val="7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B211CC">
        <w:rPr>
          <w:rFonts w:ascii="Times New Roman" w:hAnsi="Times New Roman" w:cs="Times New Roman"/>
          <w:sz w:val="24"/>
          <w:szCs w:val="24"/>
        </w:rPr>
        <w:t>Бюджет за 1 квартал 202</w:t>
      </w:r>
      <w:r w:rsidR="000F7E8E">
        <w:rPr>
          <w:rFonts w:ascii="Times New Roman" w:hAnsi="Times New Roman" w:cs="Times New Roman"/>
          <w:sz w:val="24"/>
          <w:szCs w:val="24"/>
        </w:rPr>
        <w:t>6</w:t>
      </w:r>
      <w:r w:rsidRPr="00B211CC">
        <w:rPr>
          <w:rFonts w:ascii="Times New Roman" w:hAnsi="Times New Roman" w:cs="Times New Roman"/>
          <w:sz w:val="24"/>
          <w:szCs w:val="24"/>
        </w:rPr>
        <w:t xml:space="preserve"> года исполнен с </w:t>
      </w:r>
      <w:r w:rsidR="00B0327A">
        <w:rPr>
          <w:rFonts w:ascii="Times New Roman" w:hAnsi="Times New Roman" w:cs="Times New Roman"/>
          <w:sz w:val="24"/>
          <w:szCs w:val="24"/>
        </w:rPr>
        <w:t>дефицитом</w:t>
      </w:r>
      <w:r w:rsidRPr="00B211CC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0F7E8E">
        <w:rPr>
          <w:rFonts w:ascii="Times New Roman" w:hAnsi="Times New Roman" w:cs="Times New Roman"/>
          <w:sz w:val="24"/>
          <w:szCs w:val="24"/>
        </w:rPr>
        <w:t>1</w:t>
      </w:r>
      <w:r w:rsidR="00270AA3">
        <w:rPr>
          <w:rFonts w:ascii="Times New Roman" w:hAnsi="Times New Roman" w:cs="Times New Roman"/>
          <w:sz w:val="24"/>
          <w:szCs w:val="24"/>
        </w:rPr>
        <w:t>6</w:t>
      </w:r>
      <w:r w:rsidR="000F7E8E">
        <w:rPr>
          <w:rFonts w:ascii="Times New Roman" w:hAnsi="Times New Roman" w:cs="Times New Roman"/>
          <w:sz w:val="24"/>
          <w:szCs w:val="24"/>
        </w:rPr>
        <w:t> 966,92</w:t>
      </w:r>
      <w:r w:rsidRPr="00B211CC">
        <w:rPr>
          <w:rFonts w:ascii="Times New Roman" w:hAnsi="Times New Roman" w:cs="Times New Roman"/>
          <w:sz w:val="24"/>
          <w:szCs w:val="24"/>
        </w:rPr>
        <w:t xml:space="preserve"> тыс. руб. </w:t>
      </w:r>
    </w:p>
    <w:p w:rsidR="00E12AB2" w:rsidRPr="00B211CC" w:rsidRDefault="00E12AB2" w:rsidP="00E12AB2">
      <w:pPr>
        <w:numPr>
          <w:ilvl w:val="0"/>
          <w:numId w:val="7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B211CC">
        <w:rPr>
          <w:rFonts w:ascii="Times New Roman" w:hAnsi="Times New Roman" w:cs="Times New Roman"/>
          <w:sz w:val="24"/>
          <w:szCs w:val="24"/>
        </w:rPr>
        <w:t xml:space="preserve">Муниципальный долг </w:t>
      </w:r>
      <w:r w:rsidR="00E57524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3B7F8D" w:rsidRPr="0062139D">
        <w:rPr>
          <w:rFonts w:ascii="Times New Roman" w:hAnsi="Times New Roman" w:cs="Times New Roman"/>
          <w:sz w:val="24"/>
          <w:szCs w:val="24"/>
        </w:rPr>
        <w:t>Муниципальный округ Каракулинский район Удмуртской Республики</w:t>
      </w:r>
      <w:r w:rsidR="00E57524">
        <w:rPr>
          <w:rFonts w:ascii="Times New Roman" w:hAnsi="Times New Roman" w:cs="Times New Roman"/>
          <w:sz w:val="24"/>
          <w:szCs w:val="24"/>
        </w:rPr>
        <w:t xml:space="preserve">» </w:t>
      </w:r>
      <w:r w:rsidRPr="00B211CC">
        <w:rPr>
          <w:rFonts w:ascii="Times New Roman" w:hAnsi="Times New Roman" w:cs="Times New Roman"/>
          <w:sz w:val="24"/>
          <w:szCs w:val="24"/>
        </w:rPr>
        <w:t>на 01.04.202</w:t>
      </w:r>
      <w:r w:rsidR="000F7E8E">
        <w:rPr>
          <w:rFonts w:ascii="Times New Roman" w:hAnsi="Times New Roman" w:cs="Times New Roman"/>
          <w:sz w:val="24"/>
          <w:szCs w:val="24"/>
        </w:rPr>
        <w:t>6</w:t>
      </w:r>
      <w:r w:rsidRPr="00B211CC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9603DC" w:rsidRPr="00EB5CBE">
        <w:rPr>
          <w:rFonts w:ascii="Times New Roman" w:hAnsi="Times New Roman" w:cs="Times New Roman"/>
          <w:sz w:val="24"/>
          <w:szCs w:val="24"/>
        </w:rPr>
        <w:t>15</w:t>
      </w:r>
      <w:r w:rsidR="00BC4B66">
        <w:rPr>
          <w:rFonts w:ascii="Times New Roman" w:hAnsi="Times New Roman" w:cs="Times New Roman"/>
          <w:sz w:val="24"/>
          <w:szCs w:val="24"/>
        </w:rPr>
        <w:t>,00</w:t>
      </w:r>
      <w:r w:rsidRPr="00B211CC">
        <w:rPr>
          <w:rFonts w:ascii="Times New Roman" w:hAnsi="Times New Roman" w:cs="Times New Roman"/>
          <w:sz w:val="24"/>
          <w:szCs w:val="24"/>
        </w:rPr>
        <w:t xml:space="preserve"> тыс. руб.</w:t>
      </w:r>
      <w:r>
        <w:rPr>
          <w:rFonts w:ascii="Times New Roman" w:hAnsi="Times New Roman" w:cs="Times New Roman"/>
          <w:sz w:val="24"/>
          <w:szCs w:val="24"/>
        </w:rPr>
        <w:t xml:space="preserve">, что не превышает значения, установленные Решением о бюджете </w:t>
      </w:r>
      <w:r w:rsidR="00AF7B13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B1077C" w:rsidRPr="0062139D">
        <w:rPr>
          <w:rFonts w:ascii="Times New Roman" w:hAnsi="Times New Roman" w:cs="Times New Roman"/>
          <w:sz w:val="24"/>
          <w:szCs w:val="24"/>
        </w:rPr>
        <w:t>Муниципальный округ Каракулинский район Удмуртской Республики</w:t>
      </w:r>
      <w:r w:rsidR="00AF7B1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на 202</w:t>
      </w:r>
      <w:r w:rsidR="000F7E8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0F7E8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0F7E8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B211CC">
        <w:rPr>
          <w:rFonts w:ascii="Times New Roman" w:hAnsi="Times New Roman" w:cs="Times New Roman"/>
          <w:sz w:val="24"/>
          <w:szCs w:val="24"/>
        </w:rPr>
        <w:t>.</w:t>
      </w:r>
    </w:p>
    <w:p w:rsidR="00E12AB2" w:rsidRPr="00B211CC" w:rsidRDefault="00E12AB2" w:rsidP="00E12AB2">
      <w:pPr>
        <w:numPr>
          <w:ilvl w:val="0"/>
          <w:numId w:val="7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222194">
        <w:rPr>
          <w:rFonts w:ascii="Times New Roman" w:hAnsi="Times New Roman" w:cs="Times New Roman"/>
          <w:sz w:val="24"/>
          <w:szCs w:val="24"/>
        </w:rPr>
        <w:t xml:space="preserve">Кассовые расходы бюджета </w:t>
      </w:r>
      <w:r w:rsidR="00AF7B13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3B7F8D" w:rsidRPr="0062139D">
        <w:rPr>
          <w:rFonts w:ascii="Times New Roman" w:hAnsi="Times New Roman" w:cs="Times New Roman"/>
          <w:sz w:val="24"/>
          <w:szCs w:val="24"/>
        </w:rPr>
        <w:t>Муниципальный округ Каракулинский район Удмуртской Республики</w:t>
      </w:r>
      <w:r w:rsidR="00AF7B13">
        <w:rPr>
          <w:rFonts w:ascii="Times New Roman" w:hAnsi="Times New Roman" w:cs="Times New Roman"/>
          <w:sz w:val="24"/>
          <w:szCs w:val="24"/>
        </w:rPr>
        <w:t xml:space="preserve">» </w:t>
      </w:r>
      <w:r w:rsidRPr="00222194">
        <w:rPr>
          <w:rFonts w:ascii="Times New Roman" w:hAnsi="Times New Roman" w:cs="Times New Roman"/>
          <w:sz w:val="24"/>
          <w:szCs w:val="24"/>
        </w:rPr>
        <w:t>в 1 квартале 202</w:t>
      </w:r>
      <w:r w:rsidR="000F7E8E">
        <w:rPr>
          <w:rFonts w:ascii="Times New Roman" w:hAnsi="Times New Roman" w:cs="Times New Roman"/>
          <w:sz w:val="24"/>
          <w:szCs w:val="24"/>
        </w:rPr>
        <w:t>6</w:t>
      </w:r>
      <w:r w:rsidR="00985132">
        <w:rPr>
          <w:rFonts w:ascii="Times New Roman" w:hAnsi="Times New Roman" w:cs="Times New Roman"/>
          <w:sz w:val="24"/>
          <w:szCs w:val="24"/>
        </w:rPr>
        <w:t xml:space="preserve"> </w:t>
      </w:r>
      <w:r w:rsidRPr="00222194">
        <w:rPr>
          <w:rFonts w:ascii="Times New Roman" w:hAnsi="Times New Roman" w:cs="Times New Roman"/>
          <w:sz w:val="24"/>
          <w:szCs w:val="24"/>
        </w:rPr>
        <w:t xml:space="preserve">года по разделу «Обслуживание государственного и муниципального бюджета долга» составили </w:t>
      </w:r>
      <w:r w:rsidR="008F7832">
        <w:rPr>
          <w:rFonts w:ascii="Times New Roman" w:hAnsi="Times New Roman" w:cs="Times New Roman"/>
          <w:sz w:val="24"/>
          <w:szCs w:val="24"/>
        </w:rPr>
        <w:t>0</w:t>
      </w:r>
      <w:r w:rsidRPr="00222194">
        <w:rPr>
          <w:rFonts w:ascii="Times New Roman" w:hAnsi="Times New Roman" w:cs="Times New Roman"/>
          <w:sz w:val="24"/>
          <w:szCs w:val="24"/>
        </w:rPr>
        <w:t xml:space="preserve"> тыс. руб. или </w:t>
      </w:r>
      <w:r w:rsidR="008F7832">
        <w:rPr>
          <w:rFonts w:ascii="Times New Roman" w:hAnsi="Times New Roman" w:cs="Times New Roman"/>
          <w:sz w:val="24"/>
          <w:szCs w:val="24"/>
        </w:rPr>
        <w:t>0</w:t>
      </w:r>
      <w:r w:rsidRPr="00222194">
        <w:rPr>
          <w:rFonts w:ascii="Times New Roman" w:hAnsi="Times New Roman" w:cs="Times New Roman"/>
          <w:sz w:val="24"/>
          <w:szCs w:val="24"/>
        </w:rPr>
        <w:t xml:space="preserve">% от утвержденных годовых бюджетных ассигнований. При исполнении бюджета </w:t>
      </w:r>
      <w:r w:rsidR="00AF7B13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3B7F8D" w:rsidRPr="0062139D">
        <w:rPr>
          <w:rFonts w:ascii="Times New Roman" w:hAnsi="Times New Roman" w:cs="Times New Roman"/>
          <w:sz w:val="24"/>
          <w:szCs w:val="24"/>
        </w:rPr>
        <w:t>Муниципальный округ Каракулинский район Удмуртской Республики</w:t>
      </w:r>
      <w:r w:rsidR="00AF7B13">
        <w:rPr>
          <w:rFonts w:ascii="Times New Roman" w:hAnsi="Times New Roman" w:cs="Times New Roman"/>
          <w:sz w:val="24"/>
          <w:szCs w:val="24"/>
        </w:rPr>
        <w:t xml:space="preserve">» </w:t>
      </w:r>
      <w:r w:rsidRPr="00222194">
        <w:rPr>
          <w:rFonts w:ascii="Times New Roman" w:hAnsi="Times New Roman" w:cs="Times New Roman"/>
          <w:sz w:val="24"/>
          <w:szCs w:val="24"/>
        </w:rPr>
        <w:t>в 1 квартале 202</w:t>
      </w:r>
      <w:r w:rsidR="000F7E8E">
        <w:rPr>
          <w:rFonts w:ascii="Times New Roman" w:hAnsi="Times New Roman" w:cs="Times New Roman"/>
          <w:sz w:val="24"/>
          <w:szCs w:val="24"/>
        </w:rPr>
        <w:t>6</w:t>
      </w:r>
      <w:r w:rsidRPr="00222194">
        <w:rPr>
          <w:rFonts w:ascii="Times New Roman" w:hAnsi="Times New Roman" w:cs="Times New Roman"/>
          <w:sz w:val="24"/>
          <w:szCs w:val="24"/>
        </w:rPr>
        <w:t xml:space="preserve"> года законодательные</w:t>
      </w:r>
      <w:r w:rsidRPr="00B211CC">
        <w:rPr>
          <w:rFonts w:ascii="Times New Roman" w:hAnsi="Times New Roman" w:cs="Times New Roman"/>
          <w:sz w:val="24"/>
          <w:szCs w:val="24"/>
        </w:rPr>
        <w:t xml:space="preserve"> ограничения (ч. 2 ст. 111 БК РФ) в части расходов на обслуживание муниципального долга, соблюдены.</w:t>
      </w:r>
    </w:p>
    <w:p w:rsidR="00556F87" w:rsidRDefault="00556F87" w:rsidP="00E12AB2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F87" w:rsidRDefault="00556F87" w:rsidP="00E12AB2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1CB" w:rsidRDefault="009951CB" w:rsidP="00E12AB2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F87" w:rsidRDefault="00556F87" w:rsidP="00E12AB2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0CA7" w:rsidRDefault="00740CA7" w:rsidP="00E12AB2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контрольн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A307B7"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счетного органа</w:t>
      </w:r>
    </w:p>
    <w:p w:rsidR="00740CA7" w:rsidRDefault="00740CA7" w:rsidP="00E12AB2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E12AB2">
        <w:rPr>
          <w:rFonts w:ascii="Times New Roman" w:hAnsi="Times New Roman" w:cs="Times New Roman"/>
          <w:sz w:val="24"/>
          <w:szCs w:val="24"/>
        </w:rPr>
        <w:t xml:space="preserve"> </w:t>
      </w:r>
      <w:r w:rsidR="00E12AB2" w:rsidRPr="0004421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</w:p>
    <w:p w:rsidR="00E12AB2" w:rsidRPr="00044218" w:rsidRDefault="00C02AAB" w:rsidP="00E12AB2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Каракулинский район</w:t>
      </w:r>
      <w:r w:rsidR="00740CA7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12AB2" w:rsidRPr="00044218">
        <w:rPr>
          <w:rFonts w:ascii="Times New Roman" w:hAnsi="Times New Roman" w:cs="Times New Roman"/>
          <w:sz w:val="24"/>
          <w:szCs w:val="24"/>
        </w:rPr>
        <w:t xml:space="preserve"> </w:t>
      </w:r>
      <w:r w:rsidR="00E12AB2" w:rsidRPr="0004421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</w:t>
      </w:r>
      <w:r w:rsidR="00E12AB2" w:rsidRPr="00044218">
        <w:rPr>
          <w:rFonts w:ascii="Times New Roman" w:hAnsi="Times New Roman" w:cs="Times New Roman"/>
          <w:sz w:val="24"/>
          <w:szCs w:val="24"/>
        </w:rPr>
        <w:t xml:space="preserve">.В. </w:t>
      </w:r>
      <w:r>
        <w:rPr>
          <w:rFonts w:ascii="Times New Roman" w:hAnsi="Times New Roman" w:cs="Times New Roman"/>
          <w:sz w:val="24"/>
          <w:szCs w:val="24"/>
        </w:rPr>
        <w:t>Пономарева</w:t>
      </w:r>
    </w:p>
    <w:sectPr w:rsidR="00E12AB2" w:rsidRPr="00044218" w:rsidSect="00E64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38C" w:rsidRDefault="00F2238C" w:rsidP="00E12AB2">
      <w:pPr>
        <w:spacing w:after="0" w:line="240" w:lineRule="auto"/>
      </w:pPr>
      <w:r>
        <w:separator/>
      </w:r>
    </w:p>
  </w:endnote>
  <w:endnote w:type="continuationSeparator" w:id="0">
    <w:p w:rsidR="00F2238C" w:rsidRDefault="00F2238C" w:rsidP="00E12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38C" w:rsidRDefault="00F2238C" w:rsidP="00E12AB2">
      <w:pPr>
        <w:spacing w:after="0" w:line="240" w:lineRule="auto"/>
      </w:pPr>
      <w:r>
        <w:separator/>
      </w:r>
    </w:p>
  </w:footnote>
  <w:footnote w:type="continuationSeparator" w:id="0">
    <w:p w:rsidR="00F2238C" w:rsidRDefault="00F2238C" w:rsidP="00E12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5257"/>
    <w:multiLevelType w:val="hybridMultilevel"/>
    <w:tmpl w:val="468CE412"/>
    <w:lvl w:ilvl="0" w:tplc="3B50ED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B8EE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D67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601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0080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9E4A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963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F27B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201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2492DDF"/>
    <w:multiLevelType w:val="hybridMultilevel"/>
    <w:tmpl w:val="969435F8"/>
    <w:lvl w:ilvl="0" w:tplc="739CA4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0B50A5"/>
    <w:multiLevelType w:val="hybridMultilevel"/>
    <w:tmpl w:val="988CC34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CEE55FE"/>
    <w:multiLevelType w:val="hybridMultilevel"/>
    <w:tmpl w:val="8AE644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B8A39F5"/>
    <w:multiLevelType w:val="hybridMultilevel"/>
    <w:tmpl w:val="534604B2"/>
    <w:lvl w:ilvl="0" w:tplc="8AC2C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303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DA7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AE8E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BE55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94E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3883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E2F1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C4E0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1822F1B"/>
    <w:multiLevelType w:val="hybridMultilevel"/>
    <w:tmpl w:val="9E7C8FC2"/>
    <w:lvl w:ilvl="0" w:tplc="9C54A9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B2F5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8498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6AD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FE4B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C474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0C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288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C0E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7F40591"/>
    <w:multiLevelType w:val="hybridMultilevel"/>
    <w:tmpl w:val="8C2E3692"/>
    <w:lvl w:ilvl="0" w:tplc="04B4EE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924A3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0A0EA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91D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50B90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EEEC2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467A8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8AF6C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48CBA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EF0EEA"/>
    <w:multiLevelType w:val="hybridMultilevel"/>
    <w:tmpl w:val="CAB03B44"/>
    <w:lvl w:ilvl="0" w:tplc="F7286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301A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660B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327E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105A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942B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F25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ECA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062C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2AB2"/>
    <w:rsid w:val="00013014"/>
    <w:rsid w:val="00026160"/>
    <w:rsid w:val="00032993"/>
    <w:rsid w:val="00040F6D"/>
    <w:rsid w:val="0004516F"/>
    <w:rsid w:val="00045F93"/>
    <w:rsid w:val="00057BB5"/>
    <w:rsid w:val="00065674"/>
    <w:rsid w:val="00067D4E"/>
    <w:rsid w:val="000748AC"/>
    <w:rsid w:val="00076F04"/>
    <w:rsid w:val="000840B2"/>
    <w:rsid w:val="000946F2"/>
    <w:rsid w:val="000A2CFF"/>
    <w:rsid w:val="000A4CCF"/>
    <w:rsid w:val="000A5817"/>
    <w:rsid w:val="000A59A1"/>
    <w:rsid w:val="000A5E68"/>
    <w:rsid w:val="000B5FEB"/>
    <w:rsid w:val="000C33B5"/>
    <w:rsid w:val="000C78E7"/>
    <w:rsid w:val="000D1040"/>
    <w:rsid w:val="000D2D4F"/>
    <w:rsid w:val="000D3B56"/>
    <w:rsid w:val="000D53A7"/>
    <w:rsid w:val="000D7346"/>
    <w:rsid w:val="000E6CF8"/>
    <w:rsid w:val="000E6CFD"/>
    <w:rsid w:val="000F107F"/>
    <w:rsid w:val="000F214D"/>
    <w:rsid w:val="000F6141"/>
    <w:rsid w:val="000F7E8E"/>
    <w:rsid w:val="001044B9"/>
    <w:rsid w:val="001147F5"/>
    <w:rsid w:val="001210AA"/>
    <w:rsid w:val="00123367"/>
    <w:rsid w:val="00130D26"/>
    <w:rsid w:val="00135A6F"/>
    <w:rsid w:val="00140438"/>
    <w:rsid w:val="00146747"/>
    <w:rsid w:val="001520BA"/>
    <w:rsid w:val="00152EBE"/>
    <w:rsid w:val="0015317C"/>
    <w:rsid w:val="00154000"/>
    <w:rsid w:val="00154ABE"/>
    <w:rsid w:val="00155C92"/>
    <w:rsid w:val="00165D23"/>
    <w:rsid w:val="001727EA"/>
    <w:rsid w:val="0017425A"/>
    <w:rsid w:val="001767EB"/>
    <w:rsid w:val="00176E99"/>
    <w:rsid w:val="00177825"/>
    <w:rsid w:val="00193C60"/>
    <w:rsid w:val="001A15CE"/>
    <w:rsid w:val="001A1EDC"/>
    <w:rsid w:val="001A2FAE"/>
    <w:rsid w:val="001A57D6"/>
    <w:rsid w:val="001A62C1"/>
    <w:rsid w:val="001A77DB"/>
    <w:rsid w:val="001B5DF8"/>
    <w:rsid w:val="001B7731"/>
    <w:rsid w:val="001C057B"/>
    <w:rsid w:val="001D333D"/>
    <w:rsid w:val="001D54F6"/>
    <w:rsid w:val="001D5CAE"/>
    <w:rsid w:val="001D618A"/>
    <w:rsid w:val="001D64F4"/>
    <w:rsid w:val="001D69DB"/>
    <w:rsid w:val="001D72AD"/>
    <w:rsid w:val="001E00B6"/>
    <w:rsid w:val="001E1B69"/>
    <w:rsid w:val="001E31CE"/>
    <w:rsid w:val="001E5A3C"/>
    <w:rsid w:val="001E5F17"/>
    <w:rsid w:val="001E6B2F"/>
    <w:rsid w:val="001E7321"/>
    <w:rsid w:val="001F1515"/>
    <w:rsid w:val="001F3C99"/>
    <w:rsid w:val="001F3FCF"/>
    <w:rsid w:val="001F4D05"/>
    <w:rsid w:val="00200AD5"/>
    <w:rsid w:val="00205BDF"/>
    <w:rsid w:val="0021493F"/>
    <w:rsid w:val="0022266B"/>
    <w:rsid w:val="002250C5"/>
    <w:rsid w:val="00231F67"/>
    <w:rsid w:val="00232A69"/>
    <w:rsid w:val="00247493"/>
    <w:rsid w:val="002553EB"/>
    <w:rsid w:val="00266BF0"/>
    <w:rsid w:val="0026738F"/>
    <w:rsid w:val="00270AA3"/>
    <w:rsid w:val="00271F8B"/>
    <w:rsid w:val="00283331"/>
    <w:rsid w:val="00283EE6"/>
    <w:rsid w:val="002860FC"/>
    <w:rsid w:val="0028721E"/>
    <w:rsid w:val="00290E6C"/>
    <w:rsid w:val="00292532"/>
    <w:rsid w:val="002972E1"/>
    <w:rsid w:val="002979CA"/>
    <w:rsid w:val="002A0E32"/>
    <w:rsid w:val="002A6F8F"/>
    <w:rsid w:val="002B20CC"/>
    <w:rsid w:val="002C352D"/>
    <w:rsid w:val="002D01BE"/>
    <w:rsid w:val="002E2665"/>
    <w:rsid w:val="002E3803"/>
    <w:rsid w:val="002E39B8"/>
    <w:rsid w:val="002E52F5"/>
    <w:rsid w:val="002F072E"/>
    <w:rsid w:val="002F2786"/>
    <w:rsid w:val="002F491F"/>
    <w:rsid w:val="002F4BA4"/>
    <w:rsid w:val="00306648"/>
    <w:rsid w:val="00307D6E"/>
    <w:rsid w:val="00307E3C"/>
    <w:rsid w:val="00315937"/>
    <w:rsid w:val="00317F5E"/>
    <w:rsid w:val="00327612"/>
    <w:rsid w:val="003641B9"/>
    <w:rsid w:val="00365CD1"/>
    <w:rsid w:val="00372EBA"/>
    <w:rsid w:val="00380D86"/>
    <w:rsid w:val="00384BD7"/>
    <w:rsid w:val="00386629"/>
    <w:rsid w:val="00391144"/>
    <w:rsid w:val="003947D3"/>
    <w:rsid w:val="00394E7D"/>
    <w:rsid w:val="003B543F"/>
    <w:rsid w:val="003B69FE"/>
    <w:rsid w:val="003B7F8D"/>
    <w:rsid w:val="003C4D1B"/>
    <w:rsid w:val="003C4DA4"/>
    <w:rsid w:val="003D0864"/>
    <w:rsid w:val="003E184B"/>
    <w:rsid w:val="003F1A03"/>
    <w:rsid w:val="00407991"/>
    <w:rsid w:val="004250F9"/>
    <w:rsid w:val="00425980"/>
    <w:rsid w:val="00434AFB"/>
    <w:rsid w:val="00442300"/>
    <w:rsid w:val="00444B03"/>
    <w:rsid w:val="00452A03"/>
    <w:rsid w:val="004637A9"/>
    <w:rsid w:val="00467CA4"/>
    <w:rsid w:val="00477014"/>
    <w:rsid w:val="00484C2E"/>
    <w:rsid w:val="00487D07"/>
    <w:rsid w:val="00493DB2"/>
    <w:rsid w:val="0049438C"/>
    <w:rsid w:val="00497F5A"/>
    <w:rsid w:val="004B1995"/>
    <w:rsid w:val="004B7E02"/>
    <w:rsid w:val="004C507F"/>
    <w:rsid w:val="004E04CF"/>
    <w:rsid w:val="004E7D51"/>
    <w:rsid w:val="004F1FDB"/>
    <w:rsid w:val="005106BD"/>
    <w:rsid w:val="005149DF"/>
    <w:rsid w:val="00542C94"/>
    <w:rsid w:val="005526BB"/>
    <w:rsid w:val="00555FE2"/>
    <w:rsid w:val="00556F87"/>
    <w:rsid w:val="00564605"/>
    <w:rsid w:val="00567CCE"/>
    <w:rsid w:val="00571000"/>
    <w:rsid w:val="005823B1"/>
    <w:rsid w:val="005837C6"/>
    <w:rsid w:val="00587E2D"/>
    <w:rsid w:val="005A1FFC"/>
    <w:rsid w:val="005A2B1C"/>
    <w:rsid w:val="005A73AF"/>
    <w:rsid w:val="005B5185"/>
    <w:rsid w:val="005B6A45"/>
    <w:rsid w:val="005C40F0"/>
    <w:rsid w:val="005C5345"/>
    <w:rsid w:val="005D0AF6"/>
    <w:rsid w:val="005D1416"/>
    <w:rsid w:val="005D32E1"/>
    <w:rsid w:val="005D647B"/>
    <w:rsid w:val="005D69DE"/>
    <w:rsid w:val="005E466E"/>
    <w:rsid w:val="005F1353"/>
    <w:rsid w:val="005F328C"/>
    <w:rsid w:val="005F39D1"/>
    <w:rsid w:val="00601BDB"/>
    <w:rsid w:val="00601C19"/>
    <w:rsid w:val="00604A15"/>
    <w:rsid w:val="00607C63"/>
    <w:rsid w:val="00620F6E"/>
    <w:rsid w:val="0062139D"/>
    <w:rsid w:val="00621CAA"/>
    <w:rsid w:val="00621F2B"/>
    <w:rsid w:val="00626F9B"/>
    <w:rsid w:val="006307F9"/>
    <w:rsid w:val="006318F9"/>
    <w:rsid w:val="00632189"/>
    <w:rsid w:val="00642EF8"/>
    <w:rsid w:val="00655CF2"/>
    <w:rsid w:val="006638FA"/>
    <w:rsid w:val="00664858"/>
    <w:rsid w:val="006656AB"/>
    <w:rsid w:val="006667C7"/>
    <w:rsid w:val="00670043"/>
    <w:rsid w:val="00676802"/>
    <w:rsid w:val="00687EB5"/>
    <w:rsid w:val="00690288"/>
    <w:rsid w:val="00693A36"/>
    <w:rsid w:val="006965AA"/>
    <w:rsid w:val="006A3419"/>
    <w:rsid w:val="006A7ACB"/>
    <w:rsid w:val="006B3FAA"/>
    <w:rsid w:val="006C7795"/>
    <w:rsid w:val="006D1359"/>
    <w:rsid w:val="006D461D"/>
    <w:rsid w:val="006D5FAF"/>
    <w:rsid w:val="006D760B"/>
    <w:rsid w:val="006E0DF3"/>
    <w:rsid w:val="006E6225"/>
    <w:rsid w:val="006E74BF"/>
    <w:rsid w:val="00700971"/>
    <w:rsid w:val="0070144D"/>
    <w:rsid w:val="00701CD1"/>
    <w:rsid w:val="00702C6B"/>
    <w:rsid w:val="00710CCA"/>
    <w:rsid w:val="00712D64"/>
    <w:rsid w:val="00732827"/>
    <w:rsid w:val="00735BA3"/>
    <w:rsid w:val="007409A3"/>
    <w:rsid w:val="00740CA7"/>
    <w:rsid w:val="007575B0"/>
    <w:rsid w:val="00762AC3"/>
    <w:rsid w:val="007642AC"/>
    <w:rsid w:val="0078219A"/>
    <w:rsid w:val="00783F96"/>
    <w:rsid w:val="00785731"/>
    <w:rsid w:val="00787D79"/>
    <w:rsid w:val="007926C2"/>
    <w:rsid w:val="00797174"/>
    <w:rsid w:val="007A605F"/>
    <w:rsid w:val="007B6D55"/>
    <w:rsid w:val="007C7FFC"/>
    <w:rsid w:val="007D0FE5"/>
    <w:rsid w:val="007D3BB1"/>
    <w:rsid w:val="007D602B"/>
    <w:rsid w:val="007E1FAF"/>
    <w:rsid w:val="00805540"/>
    <w:rsid w:val="008154D8"/>
    <w:rsid w:val="00821510"/>
    <w:rsid w:val="0082429E"/>
    <w:rsid w:val="00835031"/>
    <w:rsid w:val="00842271"/>
    <w:rsid w:val="00842919"/>
    <w:rsid w:val="008622FE"/>
    <w:rsid w:val="0087205C"/>
    <w:rsid w:val="00882B79"/>
    <w:rsid w:val="008A0694"/>
    <w:rsid w:val="008A2C35"/>
    <w:rsid w:val="008B1F59"/>
    <w:rsid w:val="008D19BE"/>
    <w:rsid w:val="008E14D5"/>
    <w:rsid w:val="008E4377"/>
    <w:rsid w:val="008E545A"/>
    <w:rsid w:val="008F20E6"/>
    <w:rsid w:val="008F6CA0"/>
    <w:rsid w:val="008F7832"/>
    <w:rsid w:val="009028F1"/>
    <w:rsid w:val="00905852"/>
    <w:rsid w:val="00907FE5"/>
    <w:rsid w:val="009111B6"/>
    <w:rsid w:val="00912F7C"/>
    <w:rsid w:val="009149CB"/>
    <w:rsid w:val="00916386"/>
    <w:rsid w:val="00916552"/>
    <w:rsid w:val="00917D89"/>
    <w:rsid w:val="0092790C"/>
    <w:rsid w:val="00930B7F"/>
    <w:rsid w:val="009311D5"/>
    <w:rsid w:val="00940C66"/>
    <w:rsid w:val="00943867"/>
    <w:rsid w:val="00946E68"/>
    <w:rsid w:val="009603DC"/>
    <w:rsid w:val="009636F0"/>
    <w:rsid w:val="00967439"/>
    <w:rsid w:val="009710A9"/>
    <w:rsid w:val="00971322"/>
    <w:rsid w:val="00976016"/>
    <w:rsid w:val="00980636"/>
    <w:rsid w:val="00982389"/>
    <w:rsid w:val="0098295C"/>
    <w:rsid w:val="00985132"/>
    <w:rsid w:val="0098525D"/>
    <w:rsid w:val="009865FE"/>
    <w:rsid w:val="009951CB"/>
    <w:rsid w:val="009A011B"/>
    <w:rsid w:val="009A215D"/>
    <w:rsid w:val="009A315E"/>
    <w:rsid w:val="009A4A61"/>
    <w:rsid w:val="009A7B89"/>
    <w:rsid w:val="009C4ACA"/>
    <w:rsid w:val="009E307B"/>
    <w:rsid w:val="009F38D2"/>
    <w:rsid w:val="00A0489F"/>
    <w:rsid w:val="00A05C7A"/>
    <w:rsid w:val="00A12E2F"/>
    <w:rsid w:val="00A14CCB"/>
    <w:rsid w:val="00A154BA"/>
    <w:rsid w:val="00A22A07"/>
    <w:rsid w:val="00A30780"/>
    <w:rsid w:val="00A307B7"/>
    <w:rsid w:val="00A32906"/>
    <w:rsid w:val="00A33CCF"/>
    <w:rsid w:val="00A3732A"/>
    <w:rsid w:val="00A43129"/>
    <w:rsid w:val="00A47EAF"/>
    <w:rsid w:val="00A51D4D"/>
    <w:rsid w:val="00A53130"/>
    <w:rsid w:val="00A56DE8"/>
    <w:rsid w:val="00A61126"/>
    <w:rsid w:val="00A61442"/>
    <w:rsid w:val="00A61F85"/>
    <w:rsid w:val="00A67EA2"/>
    <w:rsid w:val="00A7012B"/>
    <w:rsid w:val="00A77353"/>
    <w:rsid w:val="00A853BD"/>
    <w:rsid w:val="00A90BC4"/>
    <w:rsid w:val="00A918A1"/>
    <w:rsid w:val="00A97E69"/>
    <w:rsid w:val="00AA3A0E"/>
    <w:rsid w:val="00AA4AD1"/>
    <w:rsid w:val="00AA7718"/>
    <w:rsid w:val="00AB2F02"/>
    <w:rsid w:val="00AB4286"/>
    <w:rsid w:val="00AB4DE3"/>
    <w:rsid w:val="00AB619C"/>
    <w:rsid w:val="00AC3772"/>
    <w:rsid w:val="00AC37D7"/>
    <w:rsid w:val="00AC5303"/>
    <w:rsid w:val="00AD039F"/>
    <w:rsid w:val="00AD1765"/>
    <w:rsid w:val="00AD1E9B"/>
    <w:rsid w:val="00AD42AB"/>
    <w:rsid w:val="00AE08C2"/>
    <w:rsid w:val="00AE42D6"/>
    <w:rsid w:val="00AE477A"/>
    <w:rsid w:val="00AF7B13"/>
    <w:rsid w:val="00B0122A"/>
    <w:rsid w:val="00B0327A"/>
    <w:rsid w:val="00B1077C"/>
    <w:rsid w:val="00B12356"/>
    <w:rsid w:val="00B13E6F"/>
    <w:rsid w:val="00B14556"/>
    <w:rsid w:val="00B2151A"/>
    <w:rsid w:val="00B3674F"/>
    <w:rsid w:val="00B5193C"/>
    <w:rsid w:val="00B5267B"/>
    <w:rsid w:val="00B6446C"/>
    <w:rsid w:val="00B64912"/>
    <w:rsid w:val="00B64950"/>
    <w:rsid w:val="00B71E2A"/>
    <w:rsid w:val="00B72ADD"/>
    <w:rsid w:val="00B75661"/>
    <w:rsid w:val="00B76ED8"/>
    <w:rsid w:val="00B8068B"/>
    <w:rsid w:val="00B833D2"/>
    <w:rsid w:val="00B86087"/>
    <w:rsid w:val="00B90812"/>
    <w:rsid w:val="00B93FA0"/>
    <w:rsid w:val="00B97A87"/>
    <w:rsid w:val="00BA0760"/>
    <w:rsid w:val="00BA4D00"/>
    <w:rsid w:val="00BA58E1"/>
    <w:rsid w:val="00BA683C"/>
    <w:rsid w:val="00BB0205"/>
    <w:rsid w:val="00BB622B"/>
    <w:rsid w:val="00BC4B66"/>
    <w:rsid w:val="00BC7FBD"/>
    <w:rsid w:val="00BD13BB"/>
    <w:rsid w:val="00BE3DE7"/>
    <w:rsid w:val="00BE547D"/>
    <w:rsid w:val="00BE76F5"/>
    <w:rsid w:val="00BF0391"/>
    <w:rsid w:val="00BF0CA2"/>
    <w:rsid w:val="00BF3C97"/>
    <w:rsid w:val="00BF422E"/>
    <w:rsid w:val="00BF65AF"/>
    <w:rsid w:val="00C026A2"/>
    <w:rsid w:val="00C02AAB"/>
    <w:rsid w:val="00C26DD8"/>
    <w:rsid w:val="00C27E17"/>
    <w:rsid w:val="00C36E3C"/>
    <w:rsid w:val="00C40358"/>
    <w:rsid w:val="00C413B1"/>
    <w:rsid w:val="00C44D80"/>
    <w:rsid w:val="00C51B21"/>
    <w:rsid w:val="00C60F3C"/>
    <w:rsid w:val="00C61A62"/>
    <w:rsid w:val="00C637B2"/>
    <w:rsid w:val="00C65C7E"/>
    <w:rsid w:val="00C7179E"/>
    <w:rsid w:val="00C7229A"/>
    <w:rsid w:val="00C74061"/>
    <w:rsid w:val="00C76047"/>
    <w:rsid w:val="00C775E0"/>
    <w:rsid w:val="00C84DC6"/>
    <w:rsid w:val="00C859EC"/>
    <w:rsid w:val="00C978C4"/>
    <w:rsid w:val="00C97F96"/>
    <w:rsid w:val="00CA15C0"/>
    <w:rsid w:val="00CA2544"/>
    <w:rsid w:val="00CA4241"/>
    <w:rsid w:val="00CA4E9A"/>
    <w:rsid w:val="00CA7965"/>
    <w:rsid w:val="00CC177F"/>
    <w:rsid w:val="00CC66A0"/>
    <w:rsid w:val="00CE324B"/>
    <w:rsid w:val="00CE574C"/>
    <w:rsid w:val="00CE64DE"/>
    <w:rsid w:val="00D00573"/>
    <w:rsid w:val="00D14006"/>
    <w:rsid w:val="00D2183F"/>
    <w:rsid w:val="00D26A77"/>
    <w:rsid w:val="00D30262"/>
    <w:rsid w:val="00D3073E"/>
    <w:rsid w:val="00D32BE1"/>
    <w:rsid w:val="00D50152"/>
    <w:rsid w:val="00D51349"/>
    <w:rsid w:val="00D53484"/>
    <w:rsid w:val="00D53DB9"/>
    <w:rsid w:val="00D61F0E"/>
    <w:rsid w:val="00D65D3B"/>
    <w:rsid w:val="00D8444E"/>
    <w:rsid w:val="00D973BA"/>
    <w:rsid w:val="00DA5694"/>
    <w:rsid w:val="00DB520C"/>
    <w:rsid w:val="00DB5779"/>
    <w:rsid w:val="00DC0723"/>
    <w:rsid w:val="00DD0A39"/>
    <w:rsid w:val="00DD1B63"/>
    <w:rsid w:val="00DE2941"/>
    <w:rsid w:val="00E029C1"/>
    <w:rsid w:val="00E1209C"/>
    <w:rsid w:val="00E12AB2"/>
    <w:rsid w:val="00E15416"/>
    <w:rsid w:val="00E16008"/>
    <w:rsid w:val="00E30388"/>
    <w:rsid w:val="00E31EC6"/>
    <w:rsid w:val="00E42FA3"/>
    <w:rsid w:val="00E451EE"/>
    <w:rsid w:val="00E57524"/>
    <w:rsid w:val="00E64F29"/>
    <w:rsid w:val="00E73501"/>
    <w:rsid w:val="00E8033F"/>
    <w:rsid w:val="00E909AC"/>
    <w:rsid w:val="00EA40A5"/>
    <w:rsid w:val="00EA5797"/>
    <w:rsid w:val="00EB35A6"/>
    <w:rsid w:val="00EB5CBE"/>
    <w:rsid w:val="00ED57B0"/>
    <w:rsid w:val="00ED5E7D"/>
    <w:rsid w:val="00ED731F"/>
    <w:rsid w:val="00EE0598"/>
    <w:rsid w:val="00EE3782"/>
    <w:rsid w:val="00EF420B"/>
    <w:rsid w:val="00F01B54"/>
    <w:rsid w:val="00F051DE"/>
    <w:rsid w:val="00F07F3C"/>
    <w:rsid w:val="00F1146A"/>
    <w:rsid w:val="00F12D4B"/>
    <w:rsid w:val="00F16C45"/>
    <w:rsid w:val="00F2238C"/>
    <w:rsid w:val="00F230CB"/>
    <w:rsid w:val="00F2582F"/>
    <w:rsid w:val="00F30F0E"/>
    <w:rsid w:val="00F330A5"/>
    <w:rsid w:val="00F33762"/>
    <w:rsid w:val="00F34438"/>
    <w:rsid w:val="00F362D4"/>
    <w:rsid w:val="00F3699E"/>
    <w:rsid w:val="00F42555"/>
    <w:rsid w:val="00F43261"/>
    <w:rsid w:val="00F5137D"/>
    <w:rsid w:val="00F57914"/>
    <w:rsid w:val="00F61E20"/>
    <w:rsid w:val="00F66C0E"/>
    <w:rsid w:val="00F87340"/>
    <w:rsid w:val="00FA14F9"/>
    <w:rsid w:val="00FA6158"/>
    <w:rsid w:val="00FB060A"/>
    <w:rsid w:val="00FB1FD2"/>
    <w:rsid w:val="00FB5591"/>
    <w:rsid w:val="00FB6144"/>
    <w:rsid w:val="00FC1009"/>
    <w:rsid w:val="00FC3CDB"/>
    <w:rsid w:val="00FC7ADD"/>
    <w:rsid w:val="00FD0C81"/>
    <w:rsid w:val="00FD1920"/>
    <w:rsid w:val="00FD38EF"/>
    <w:rsid w:val="00FD57CB"/>
    <w:rsid w:val="00FD65B9"/>
    <w:rsid w:val="00FF2257"/>
    <w:rsid w:val="00FF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AB2"/>
    <w:pPr>
      <w:spacing w:after="200" w:line="276" w:lineRule="auto"/>
      <w:jc w:val="left"/>
    </w:pPr>
  </w:style>
  <w:style w:type="paragraph" w:styleId="1">
    <w:name w:val="heading 1"/>
    <w:basedOn w:val="a"/>
    <w:next w:val="a"/>
    <w:link w:val="10"/>
    <w:uiPriority w:val="9"/>
    <w:qFormat/>
    <w:rsid w:val="00E12A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E12AB2"/>
    <w:pPr>
      <w:keepNext/>
      <w:spacing w:after="0" w:line="360" w:lineRule="auto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12AB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E12AB2"/>
    <w:pPr>
      <w:ind w:left="720"/>
      <w:contextualSpacing/>
    </w:pPr>
  </w:style>
  <w:style w:type="paragraph" w:customStyle="1" w:styleId="ConsPlusNormal">
    <w:name w:val="ConsPlusNormal"/>
    <w:qFormat/>
    <w:rsid w:val="00E12AB2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E12AB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12AB2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E12AB2"/>
    <w:rPr>
      <w:vertAlign w:val="superscript"/>
    </w:rPr>
  </w:style>
  <w:style w:type="paragraph" w:styleId="a7">
    <w:name w:val="Body Text Indent"/>
    <w:basedOn w:val="a"/>
    <w:link w:val="a8"/>
    <w:rsid w:val="00E12AB2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E12A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12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2A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12A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rnet@udm.ne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karakulino.udmur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утвержденные бюджетные назнчения</c:v>
                </c:pt>
              </c:strCache>
            </c:strRef>
          </c:tx>
          <c:spPr>
            <a:pattFill prst="wdDnDiag">
              <a:fgClr>
                <a:schemeClr val="accent1"/>
              </a:fgClr>
              <a:bgClr>
                <a:schemeClr val="bg1"/>
              </a:bgClr>
            </a:patt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НАЛОГОВЫЕ И НЕНАЛОГОВЫЕ ДОХОДЫ</c:v>
                </c:pt>
                <c:pt idx="1">
                  <c:v>БЕЗВОЗМЕЗДНЫЕ ПОСТУПЛЕНИЯ</c:v>
                </c:pt>
                <c:pt idx="2">
                  <c:v>ИТОГО ДОХОДОВ</c:v>
                </c:pt>
              </c:strCache>
            </c:strRef>
          </c:cat>
          <c:val>
            <c:numRef>
              <c:f>Лист1!$B$2:$B$4</c:f>
              <c:numCache>
                <c:formatCode>#,##0.00</c:formatCode>
                <c:ptCount val="3"/>
                <c:pt idx="0">
                  <c:v>369.99</c:v>
                </c:pt>
                <c:pt idx="1">
                  <c:v>497.36</c:v>
                </c:pt>
                <c:pt idx="2">
                  <c:v>867.35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исполнено</c:v>
                </c:pt>
              </c:strCache>
            </c:strRef>
          </c:tx>
          <c:spPr>
            <a:pattFill prst="pct80">
              <a:fgClr>
                <a:schemeClr val="accent1"/>
              </a:fgClr>
              <a:bgClr>
                <a:schemeClr val="bg1"/>
              </a:bgClr>
            </a:patt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НАЛОГОВЫЕ И НЕНАЛОГОВЫЕ ДОХОДЫ</c:v>
                </c:pt>
                <c:pt idx="1">
                  <c:v>БЕЗВОЗМЕЗДНЫЕ ПОСТУПЛЕНИЯ</c:v>
                </c:pt>
                <c:pt idx="2">
                  <c:v>ИТОГО ДОХОДОВ</c:v>
                </c:pt>
              </c:strCache>
            </c:strRef>
          </c:cat>
          <c:val>
            <c:numRef>
              <c:f>Лист1!$C$2:$C$4</c:f>
              <c:numCache>
                <c:formatCode>#,##0.00</c:formatCode>
                <c:ptCount val="3"/>
                <c:pt idx="0">
                  <c:v>54.88</c:v>
                </c:pt>
                <c:pt idx="1">
                  <c:v>83.92</c:v>
                </c:pt>
                <c:pt idx="2">
                  <c:v>138.80000000000001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0441856"/>
        <c:axId val="79875456"/>
      </c:barChart>
      <c:catAx>
        <c:axId val="160441856"/>
        <c:scaling>
          <c:orientation val="minMax"/>
        </c:scaling>
        <c:delete val="0"/>
        <c:axPos val="b"/>
        <c:majorTickMark val="out"/>
        <c:minorTickMark val="none"/>
        <c:tickLblPos val="nextTo"/>
        <c:crossAx val="79875456"/>
        <c:crosses val="autoZero"/>
        <c:auto val="1"/>
        <c:lblAlgn val="ctr"/>
        <c:lblOffset val="100"/>
        <c:noMultiLvlLbl val="0"/>
      </c:catAx>
      <c:valAx>
        <c:axId val="79875456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16044185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кв. 2023</c:v>
                </c:pt>
              </c:strCache>
            </c:strRef>
          </c:tx>
          <c:spPr>
            <a:pattFill prst="wdDnDiag">
              <a:fgClr>
                <a:srgbClr val="4F81BD"/>
              </a:fgClr>
              <a:bgClr>
                <a:sysClr val="window" lastClr="FFFFFF"/>
              </a:bgClr>
            </a:pattFill>
          </c:spPr>
          <c:invertIfNegative val="0"/>
          <c:dLbls>
            <c:dLbl>
              <c:idx val="0"/>
              <c:layout>
                <c:manualLayout>
                  <c:x val="6.3953302603100715E-3"/>
                  <c:y val="2.13135201646907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0683760683760811E-2"/>
                  <c:y val="2.86846355743996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6.5370974224610977E-3"/>
                  <c:y val="-4.87776960458387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НАЛОГОВЫЕ И НЕНАЛОГОВЫЕ ДОХОДЫ</c:v>
                </c:pt>
                <c:pt idx="1">
                  <c:v>БЕЗВОЗМЕЗДНЫЕ ПОСТУПЛЕНИЯ</c:v>
                </c:pt>
                <c:pt idx="2">
                  <c:v>ИТОГО ДОХОДОВ</c:v>
                </c:pt>
              </c:strCache>
            </c:strRef>
          </c:cat>
          <c:val>
            <c:numRef>
              <c:f>Лист1!$B$2:$B$4</c:f>
              <c:numCache>
                <c:formatCode>#,##0.00</c:formatCode>
                <c:ptCount val="3"/>
                <c:pt idx="0">
                  <c:v>44.54</c:v>
                </c:pt>
                <c:pt idx="1">
                  <c:v>67.540000000000006</c:v>
                </c:pt>
                <c:pt idx="2">
                  <c:v>112.08000000000001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кв. 2024</c:v>
                </c:pt>
              </c:strCache>
            </c:strRef>
          </c:tx>
          <c:spPr>
            <a:pattFill prst="pct75">
              <a:fgClr>
                <a:srgbClr val="4F81BD"/>
              </a:fgClr>
              <a:bgClr>
                <a:sysClr val="window" lastClr="FFFFFF"/>
              </a:bgClr>
            </a:pattFill>
          </c:spPr>
          <c:invertIfNegative val="0"/>
          <c:dLbls>
            <c:dLbl>
              <c:idx val="0"/>
              <c:layout>
                <c:manualLayout>
                  <c:x val="4.265459431552359E-3"/>
                  <c:y val="1.28224507349983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1419790561300425E-3"/>
                  <c:y val="-1.28264905745493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НАЛОГОВЫЕ И НЕНАЛОГОВЫЕ ДОХОДЫ</c:v>
                </c:pt>
                <c:pt idx="1">
                  <c:v>БЕЗВОЗМЕЗДНЫЕ ПОСТУПЛЕНИЯ</c:v>
                </c:pt>
                <c:pt idx="2">
                  <c:v>ИТОГО ДОХОДОВ</c:v>
                </c:pt>
              </c:strCache>
            </c:strRef>
          </c:cat>
          <c:val>
            <c:numRef>
              <c:f>Лист1!$C$2:$C$4</c:f>
              <c:numCache>
                <c:formatCode>#,##0.00</c:formatCode>
                <c:ptCount val="3"/>
                <c:pt idx="0">
                  <c:v>50.81</c:v>
                </c:pt>
                <c:pt idx="1">
                  <c:v>87</c:v>
                </c:pt>
                <c:pt idx="2">
                  <c:v>137.81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 кв. 2025</c:v>
                </c:pt>
              </c:strCache>
            </c:strRef>
          </c:tx>
          <c:spPr>
            <a:pattFill prst="shingle">
              <a:fgClr>
                <a:srgbClr val="4F81BD"/>
              </a:fgClr>
              <a:bgClr>
                <a:sysClr val="window" lastClr="FFFFFF"/>
              </a:bgClr>
            </a:pattFill>
          </c:spPr>
          <c:invertIfNegative val="0"/>
          <c:dLbls>
            <c:dLbl>
              <c:idx val="0"/>
              <c:layout>
                <c:manualLayout>
                  <c:x val="-2.1357567726192619E-3"/>
                  <c:y val="-1.03174135600581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5431724880543777E-3"/>
                  <c:y val="-1.08355205599301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1367657915669562E-3"/>
                  <c:y val="1.68989854952927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НАЛОГОВЫЕ И НЕНАЛОГОВЫЕ ДОХОДЫ</c:v>
                </c:pt>
                <c:pt idx="1">
                  <c:v>БЕЗВОЗМЕЗДНЫЕ ПОСТУПЛЕНИЯ</c:v>
                </c:pt>
                <c:pt idx="2">
                  <c:v>ИТОГО ДОХОДОВ</c:v>
                </c:pt>
              </c:strCache>
            </c:strRef>
          </c:cat>
          <c:val>
            <c:numRef>
              <c:f>Лист1!$D$2:$D$4</c:f>
              <c:numCache>
                <c:formatCode>#,##0.00</c:formatCode>
                <c:ptCount val="3"/>
                <c:pt idx="0">
                  <c:v>59.24</c:v>
                </c:pt>
                <c:pt idx="1">
                  <c:v>78.069999999999993</c:v>
                </c:pt>
                <c:pt idx="2">
                  <c:v>137.31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1 кв. 2026</c:v>
                </c:pt>
              </c:strCache>
            </c:strRef>
          </c:tx>
          <c:spPr>
            <a:pattFill prst="sphere">
              <a:fgClr>
                <a:srgbClr val="4F81BD"/>
              </a:fgClr>
              <a:bgClr>
                <a:sysClr val="window" lastClr="FFFFFF"/>
              </a:bgClr>
            </a:pattFill>
          </c:spPr>
          <c:invertIfNegative val="0"/>
          <c:dLbls>
            <c:dLbl>
              <c:idx val="0"/>
              <c:layout>
                <c:manualLayout>
                  <c:x val="2.1357567726192619E-3"/>
                  <c:y val="8.550993716366231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1518623967227064E-2"/>
                  <c:y val="-2.4713718453482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4136187287370278E-2"/>
                  <c:y val="-2.64552259532758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НАЛОГОВЫЕ И НЕНАЛОГОВЫЕ ДОХОДЫ</c:v>
                </c:pt>
                <c:pt idx="1">
                  <c:v>БЕЗВОЗМЕЗДНЫЕ ПОСТУПЛЕНИЯ</c:v>
                </c:pt>
                <c:pt idx="2">
                  <c:v>ИТОГО ДОХОДОВ</c:v>
                </c:pt>
              </c:strCache>
            </c:strRef>
          </c:cat>
          <c:val>
            <c:numRef>
              <c:f>Лист1!$E$2:$E$4</c:f>
              <c:numCache>
                <c:formatCode>#,##0.00</c:formatCode>
                <c:ptCount val="3"/>
                <c:pt idx="0">
                  <c:v>54.88</c:v>
                </c:pt>
                <c:pt idx="1">
                  <c:v>83.92</c:v>
                </c:pt>
                <c:pt idx="2">
                  <c:v>138.80000000000001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5069184"/>
        <c:axId val="166467200"/>
      </c:barChart>
      <c:catAx>
        <c:axId val="17506918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66467200"/>
        <c:crosses val="autoZero"/>
        <c:auto val="1"/>
        <c:lblAlgn val="ctr"/>
        <c:lblOffset val="100"/>
        <c:noMultiLvlLbl val="0"/>
      </c:catAx>
      <c:valAx>
        <c:axId val="166467200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17506918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кв. 2023</c:v>
                </c:pt>
              </c:strCache>
            </c:strRef>
          </c:tx>
          <c:spPr>
            <a:pattFill prst="wdDnDiag">
              <a:fgClr>
                <a:srgbClr val="4F81BD"/>
              </a:fgClr>
              <a:bgClr>
                <a:sysClr val="window" lastClr="FFFFFF"/>
              </a:bgClr>
            </a:pattFill>
          </c:spPr>
          <c:invertIfNegative val="0"/>
          <c:dLbls>
            <c:dLbl>
              <c:idx val="0"/>
              <c:layout>
                <c:manualLayout>
                  <c:x val="-6.2023705001532734E-3"/>
                  <c:y val="-1.16888015027363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0335917312661499E-2"/>
                  <c:y val="1.16959064327485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6.2085535080759089E-3"/>
                  <c:y val="3.9894567863575312E-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8.2657053282558911E-3"/>
                  <c:y val="1.94869619949002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9276485788113692E-2"/>
                  <c:y val="2.33918128654970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2.8933710995796204E-2"/>
                  <c:y val="6.1376258244509184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2398557992383836E-2"/>
                  <c:y val="1.55895695959201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Дотации бюджетам субъектов РФ и МО</c:v>
                </c:pt>
                <c:pt idx="1">
                  <c:v>Субсидии бюджетам субъектов РФ (межбюджетные субсидии)</c:v>
                </c:pt>
                <c:pt idx="2">
                  <c:v>Субвенции бюджетам субъектов РФ и МО</c:v>
                </c:pt>
                <c:pt idx="3">
                  <c:v>Иные межбюджетные трансферты</c:v>
                </c:pt>
                <c:pt idx="4">
                  <c:v>Прочие безвозмездные поступления</c:v>
                </c:pt>
                <c:pt idx="5">
                  <c:v>Возврат остатков субсидий, субв. и иных межбюд. трансфертов,имеющих целевое назначение, прошлых лет.</c:v>
                </c:pt>
                <c:pt idx="6">
                  <c:v>ИТОГО безвозмездные постепления</c:v>
                </c:pt>
              </c:strCache>
            </c:strRef>
          </c:cat>
          <c:val>
            <c:numRef>
              <c:f>Лист1!$B$2:$B$8</c:f>
              <c:numCache>
                <c:formatCode>0.00</c:formatCode>
                <c:ptCount val="7"/>
                <c:pt idx="0">
                  <c:v>13.92</c:v>
                </c:pt>
                <c:pt idx="1">
                  <c:v>5.12</c:v>
                </c:pt>
                <c:pt idx="2">
                  <c:v>49.33</c:v>
                </c:pt>
                <c:pt idx="3">
                  <c:v>3.29</c:v>
                </c:pt>
                <c:pt idx="5">
                  <c:v>-4.12</c:v>
                </c:pt>
                <c:pt idx="6">
                  <c:v>67.540000000000006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кв. 2024</c:v>
                </c:pt>
              </c:strCache>
            </c:strRef>
          </c:tx>
          <c:spPr>
            <a:pattFill prst="pct75">
              <a:fgClr>
                <a:srgbClr val="4F81BD"/>
              </a:fgClr>
              <a:bgClr>
                <a:sysClr val="window" lastClr="FFFFFF"/>
              </a:bgClr>
            </a:pattFill>
          </c:spPr>
          <c:invertIfNegative val="0"/>
          <c:dLbls>
            <c:dLbl>
              <c:idx val="0"/>
              <c:layout>
                <c:manualLayout>
                  <c:x val="-8.2660307497255253E-3"/>
                  <c:y val="-5.06590429170417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7884045114784227E-17"/>
                  <c:y val="1.55954003404541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1.9480824369075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8.261962981355302E-3"/>
                  <c:y val="-3.901074974475148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24031007751938E-2"/>
                  <c:y val="7.79727095516569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6.1992789961919179E-3"/>
                  <c:y val="-3.89708551768871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"/>
                  <c:y val="-1.55898764772114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Дотации бюджетам субъектов РФ и МО</c:v>
                </c:pt>
                <c:pt idx="1">
                  <c:v>Субсидии бюджетам субъектов РФ (межбюджетные субсидии)</c:v>
                </c:pt>
                <c:pt idx="2">
                  <c:v>Субвенции бюджетам субъектов РФ и МО</c:v>
                </c:pt>
                <c:pt idx="3">
                  <c:v>Иные межбюджетные трансферты</c:v>
                </c:pt>
                <c:pt idx="4">
                  <c:v>Прочие безвозмездные поступления</c:v>
                </c:pt>
                <c:pt idx="5">
                  <c:v>Возврат остатков субсидий, субв. и иных межбюд. трансфертов,имеющих целевое назначение, прошлых лет.</c:v>
                </c:pt>
                <c:pt idx="6">
                  <c:v>ИТОГО безвозмездные постепления</c:v>
                </c:pt>
              </c:strCache>
            </c:strRef>
          </c:cat>
          <c:val>
            <c:numRef>
              <c:f>Лист1!$C$2:$C$8</c:f>
              <c:numCache>
                <c:formatCode>0.00</c:formatCode>
                <c:ptCount val="7"/>
                <c:pt idx="0">
                  <c:v>13.93</c:v>
                </c:pt>
                <c:pt idx="1">
                  <c:v>20.18</c:v>
                </c:pt>
                <c:pt idx="2">
                  <c:v>52.15</c:v>
                </c:pt>
                <c:pt idx="3">
                  <c:v>3.58</c:v>
                </c:pt>
                <c:pt idx="4">
                  <c:v>0.09</c:v>
                </c:pt>
                <c:pt idx="5">
                  <c:v>-2.93</c:v>
                </c:pt>
                <c:pt idx="6">
                  <c:v>86.999999999999986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 кв. 2025</c:v>
                </c:pt>
              </c:strCache>
            </c:strRef>
          </c:tx>
          <c:spPr>
            <a:pattFill prst="shingle">
              <a:fgClr>
                <a:srgbClr val="4F81BD"/>
              </a:fgClr>
              <a:bgClr>
                <a:sysClr val="window" lastClr="FFFFFF"/>
              </a:bgClr>
            </a:pattFill>
          </c:spPr>
          <c:invertIfNegative val="0"/>
          <c:dLbls>
            <c:dLbl>
              <c:idx val="0"/>
              <c:layout>
                <c:manualLayout>
                  <c:x val="1.0330504552971744E-2"/>
                  <c:y val="-4.67736188884207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8.2658680389906605E-3"/>
                  <c:y val="-2.72854293683554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0693551252905958E-3"/>
                  <c:y val="7.78741964696989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1328526641278692E-3"/>
                  <c:y val="-1.55895695959201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2403113892958464E-2"/>
                  <c:y val="-2.33806718183851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6.1991162854571095E-3"/>
                  <c:y val="-1.94866551136089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"/>
                  <c:y val="7.7947847979600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Дотации бюджетам субъектов РФ и МО</c:v>
                </c:pt>
                <c:pt idx="1">
                  <c:v>Субсидии бюджетам субъектов РФ (межбюджетные субсидии)</c:v>
                </c:pt>
                <c:pt idx="2">
                  <c:v>Субвенции бюджетам субъектов РФ и МО</c:v>
                </c:pt>
                <c:pt idx="3">
                  <c:v>Иные межбюджетные трансферты</c:v>
                </c:pt>
                <c:pt idx="4">
                  <c:v>Прочие безвозмездные поступления</c:v>
                </c:pt>
                <c:pt idx="5">
                  <c:v>Возврат остатков субсидий, субв. и иных межбюд. трансфертов,имеющих целевое назначение, прошлых лет.</c:v>
                </c:pt>
                <c:pt idx="6">
                  <c:v>ИТОГО безвозмездные постепления</c:v>
                </c:pt>
              </c:strCache>
            </c:strRef>
          </c:cat>
          <c:val>
            <c:numRef>
              <c:f>Лист1!$D$2:$D$8</c:f>
              <c:numCache>
                <c:formatCode>0.00</c:formatCode>
                <c:ptCount val="7"/>
                <c:pt idx="0">
                  <c:v>13.93</c:v>
                </c:pt>
                <c:pt idx="1">
                  <c:v>24.1</c:v>
                </c:pt>
                <c:pt idx="2">
                  <c:v>40.08</c:v>
                </c:pt>
                <c:pt idx="3">
                  <c:v>5.12</c:v>
                </c:pt>
                <c:pt idx="4">
                  <c:v>0.24</c:v>
                </c:pt>
                <c:pt idx="5">
                  <c:v>-5.4</c:v>
                </c:pt>
                <c:pt idx="6">
                  <c:v>78.069999999999993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1 кв. 2026</c:v>
                </c:pt>
              </c:strCache>
            </c:strRef>
          </c:tx>
          <c:spPr>
            <a:pattFill prst="sphere">
              <a:fgClr>
                <a:srgbClr val="4F81BD"/>
              </a:fgClr>
              <a:bgClr>
                <a:sysClr val="window" lastClr="FFFFFF"/>
              </a:bgClr>
            </a:pattFill>
          </c:spPr>
          <c:invertIfNegative val="0"/>
          <c:dLbls>
            <c:dLbl>
              <c:idx val="0"/>
              <c:layout>
                <c:manualLayout>
                  <c:x val="2.6863542316831683E-2"/>
                  <c:y val="-4.67637986871004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468075828409203E-2"/>
                  <c:y val="1.16884946214450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6874932068268218E-2"/>
                  <c:y val="3.89708551768879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6532875053125055E-2"/>
                  <c:y val="1.1694632247270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8.2657053282558911E-3"/>
                  <c:y val="1.16921771969401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6.1992789961919179E-3"/>
                  <c:y val="2.3384968156462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8.2657053282560421E-3"/>
                  <c:y val="-1.16924840782314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Дотации бюджетам субъектов РФ и МО</c:v>
                </c:pt>
                <c:pt idx="1">
                  <c:v>Субсидии бюджетам субъектов РФ (межбюджетные субсидии)</c:v>
                </c:pt>
                <c:pt idx="2">
                  <c:v>Субвенции бюджетам субъектов РФ и МО</c:v>
                </c:pt>
                <c:pt idx="3">
                  <c:v>Иные межбюджетные трансферты</c:v>
                </c:pt>
                <c:pt idx="4">
                  <c:v>Прочие безвозмездные поступления</c:v>
                </c:pt>
                <c:pt idx="5">
                  <c:v>Возврат остатков субсидий, субв. и иных межбюд. трансфертов,имеющих целевое назначение, прошлых лет.</c:v>
                </c:pt>
                <c:pt idx="6">
                  <c:v>ИТОГО безвозмездные постепления</c:v>
                </c:pt>
              </c:strCache>
            </c:strRef>
          </c:cat>
          <c:val>
            <c:numRef>
              <c:f>Лист1!$E$2:$E$8</c:f>
              <c:numCache>
                <c:formatCode>0.00</c:formatCode>
                <c:ptCount val="7"/>
                <c:pt idx="0">
                  <c:v>13.93</c:v>
                </c:pt>
                <c:pt idx="1">
                  <c:v>24</c:v>
                </c:pt>
                <c:pt idx="2">
                  <c:v>43.87</c:v>
                </c:pt>
                <c:pt idx="3">
                  <c:v>4.88</c:v>
                </c:pt>
                <c:pt idx="4">
                  <c:v>6.3E-2</c:v>
                </c:pt>
                <c:pt idx="5">
                  <c:v>-2.82</c:v>
                </c:pt>
                <c:pt idx="6">
                  <c:v>83.923000000000002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9"/>
        <c:axId val="177591296"/>
        <c:axId val="166464896"/>
      </c:barChart>
      <c:catAx>
        <c:axId val="177591296"/>
        <c:scaling>
          <c:orientation val="minMax"/>
        </c:scaling>
        <c:delete val="0"/>
        <c:axPos val="b"/>
        <c:majorTickMark val="none"/>
        <c:minorTickMark val="none"/>
        <c:tickLblPos val="nextTo"/>
        <c:crossAx val="166464896"/>
        <c:crosses val="autoZero"/>
        <c:auto val="1"/>
        <c:lblAlgn val="ctr"/>
        <c:lblOffset val="100"/>
        <c:noMultiLvlLbl val="0"/>
      </c:catAx>
      <c:valAx>
        <c:axId val="166464896"/>
        <c:scaling>
          <c:orientation val="minMax"/>
        </c:scaling>
        <c:delete val="0"/>
        <c:axPos val="l"/>
        <c:numFmt formatCode="0.00" sourceLinked="1"/>
        <c:majorTickMark val="none"/>
        <c:minorTickMark val="none"/>
        <c:tickLblPos val="nextTo"/>
        <c:crossAx val="17759129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800" b="0"/>
      </a:pPr>
      <a:endParaRPr lang="ru-RU"/>
    </a:p>
  </c:txPr>
  <c:externalData r:id="rId2">
    <c:autoUpdate val="0"/>
  </c:externalData>
</c:chartSpace>
</file>

<file path=word/theme/_rels/themeOverrid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_rels/themeOverride2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Аптека">
    <a:dk1>
      <a:sysClr val="windowText" lastClr="000000"/>
    </a:dk1>
    <a:lt1>
      <a:sysClr val="window" lastClr="FFFFFF"/>
    </a:lt1>
    <a:dk2>
      <a:srgbClr val="564B3C"/>
    </a:dk2>
    <a:lt2>
      <a:srgbClr val="ECEDD1"/>
    </a:lt2>
    <a:accent1>
      <a:srgbClr val="93A299"/>
    </a:accent1>
    <a:accent2>
      <a:srgbClr val="CF543F"/>
    </a:accent2>
    <a:accent3>
      <a:srgbClr val="B5AE53"/>
    </a:accent3>
    <a:accent4>
      <a:srgbClr val="848058"/>
    </a:accent4>
    <a:accent5>
      <a:srgbClr val="E8B54D"/>
    </a:accent5>
    <a:accent6>
      <a:srgbClr val="786C71"/>
    </a:accent6>
    <a:hlink>
      <a:srgbClr val="CCCC00"/>
    </a:hlink>
    <a:folHlink>
      <a:srgbClr val="B2B2B2"/>
    </a:folHlink>
  </a:clrScheme>
  <a:fontScheme name="Аптека">
    <a:majorFont>
      <a:latin typeface="Book Antiqua"/>
      <a:ea typeface=""/>
      <a:cs typeface=""/>
      <a:font script="Jpan" typeface="HGS明朝B"/>
      <a:font script="Hang" typeface="HY견명조"/>
      <a:font script="Hans" typeface="宋体"/>
      <a:font script="Hant" typeface="新細明體"/>
      <a:font script="Arab" typeface="Times New Roman"/>
      <a:font script="Hebr" typeface="David"/>
      <a:font script="Thai" typeface="EucrosiaUPC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entury Gothic"/>
      <a:ea typeface=""/>
      <a:cs typeface=""/>
      <a:font script="Jpan" typeface="ＭＳ ゴシック"/>
      <a:font script="Hang" typeface="HY견명조"/>
      <a:font script="Hans" typeface="幼圆"/>
      <a:font script="Hant" typeface="微軟正黑體"/>
      <a:font script="Arab" typeface="Tahoma"/>
      <a:font script="Hebr" typeface="Gisha"/>
      <a:font script="Thai" typeface="Dillenia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Verdana"/>
      <a:font script="Uigh" typeface="Microsoft Uighur"/>
      <a:font script="Geor" typeface="Sylfaen"/>
    </a:minorFont>
  </a:fontScheme>
  <a:fmtScheme name="Аптека">
    <a:fillStyleLst>
      <a:solidFill>
        <a:schemeClr val="phClr"/>
      </a:solidFill>
      <a:gradFill rotWithShape="1">
        <a:gsLst>
          <a:gs pos="0">
            <a:schemeClr val="phClr">
              <a:tint val="1000"/>
              <a:satMod val="100000"/>
            </a:schemeClr>
          </a:gs>
          <a:gs pos="68000">
            <a:schemeClr val="phClr">
              <a:tint val="77000"/>
              <a:satMod val="100000"/>
            </a:schemeClr>
          </a:gs>
          <a:gs pos="81000">
            <a:schemeClr val="phClr">
              <a:tint val="79000"/>
              <a:satMod val="100000"/>
            </a:schemeClr>
          </a:gs>
          <a:gs pos="86000">
            <a:schemeClr val="phClr">
              <a:tint val="73000"/>
              <a:satMod val="100000"/>
            </a:schemeClr>
          </a:gs>
          <a:gs pos="100000">
            <a:schemeClr val="phClr">
              <a:tint val="35000"/>
              <a:satMod val="100000"/>
            </a:schemeClr>
          </a:gs>
        </a:gsLst>
        <a:lin ang="5400000" scaled="0"/>
      </a:gradFill>
      <a:gradFill rotWithShape="1">
        <a:gsLst>
          <a:gs pos="0">
            <a:schemeClr val="phClr">
              <a:tint val="73000"/>
              <a:shade val="100000"/>
              <a:satMod val="150000"/>
            </a:schemeClr>
          </a:gs>
          <a:gs pos="25000">
            <a:schemeClr val="phClr">
              <a:tint val="96000"/>
              <a:shade val="80000"/>
              <a:satMod val="105000"/>
            </a:schemeClr>
          </a:gs>
          <a:gs pos="38000">
            <a:schemeClr val="phClr">
              <a:tint val="96000"/>
              <a:shade val="59000"/>
              <a:satMod val="120000"/>
            </a:schemeClr>
          </a:gs>
          <a:gs pos="55000">
            <a:schemeClr val="phClr">
              <a:tint val="100000"/>
              <a:shade val="57000"/>
              <a:satMod val="120000"/>
            </a:schemeClr>
          </a:gs>
          <a:gs pos="80000">
            <a:schemeClr val="phClr">
              <a:tint val="100000"/>
              <a:shade val="56000"/>
              <a:satMod val="145000"/>
            </a:schemeClr>
          </a:gs>
          <a:gs pos="88000">
            <a:schemeClr val="phClr">
              <a:tint val="100000"/>
              <a:shade val="63000"/>
              <a:satMod val="160000"/>
            </a:schemeClr>
          </a:gs>
          <a:gs pos="100000">
            <a:schemeClr val="phClr">
              <a:tint val="99000"/>
              <a:shade val="100000"/>
              <a:satMod val="155000"/>
            </a:schemeClr>
          </a:gs>
        </a:gsLst>
        <a:lin ang="54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/>
      </a:effectStyle>
      <a:effectStyle>
        <a:effectLst/>
        <a:scene3d>
          <a:camera prst="orthographicFront">
            <a:rot lat="0" lon="0" rev="0"/>
          </a:camera>
          <a:lightRig rig="glow" dir="tl">
            <a:rot lat="0" lon="0" rev="1800000"/>
          </a:lightRig>
        </a:scene3d>
        <a:sp3d contourW="10160" prstMaterial="dkEdge">
          <a:bevelT w="0" h="0" prst="angle"/>
          <a:contourClr>
            <a:schemeClr val="phClr">
              <a:shade val="30000"/>
              <a:satMod val="150000"/>
            </a:schemeClr>
          </a:contourClr>
        </a:sp3d>
      </a:effectStyle>
      <a:effectStyle>
        <a:effectLst>
          <a:glow rad="50800">
            <a:schemeClr val="phClr">
              <a:tint val="68000"/>
              <a:shade val="93000"/>
              <a:alpha val="37000"/>
              <a:satMod val="250000"/>
            </a:schemeClr>
          </a:glow>
        </a:effectLst>
        <a:scene3d>
          <a:camera prst="orthographicFront">
            <a:rot lat="0" lon="0" rev="0"/>
          </a:camera>
          <a:lightRig rig="glow" dir="t">
            <a:rot lat="0" lon="0" rev="1800000"/>
          </a:lightRig>
        </a:scene3d>
        <a:sp3d contourW="10160" prstMaterial="dkEdge">
          <a:bevelT w="20320" h="19050" prst="angle"/>
          <a:contourClr>
            <a:schemeClr val="phClr">
              <a:shade val="30000"/>
              <a:satMod val="150000"/>
            </a:schemeClr>
          </a:contourClr>
        </a:sp3d>
      </a:effectStyle>
    </a:effectStyleLst>
    <a:bgFillStyleLst>
      <a:solidFill>
        <a:schemeClr val="phClr"/>
      </a:solidFill>
      <a:solidFill>
        <a:schemeClr val="phClr">
          <a:tint val="93000"/>
          <a:satMod val="140000"/>
        </a:schemeClr>
      </a:solidFill>
      <a:blipFill rotWithShape="1">
        <a:blip xmlns:r="http://schemas.openxmlformats.org/officeDocument/2006/relationships" r:embed="rId1">
          <a:duotone>
            <a:schemeClr val="phClr">
              <a:tint val="70000"/>
              <a:satMod val="170000"/>
            </a:schemeClr>
            <a:schemeClr val="phClr">
              <a:shade val="70000"/>
              <a:satMod val="130000"/>
            </a:schemeClr>
          </a:duotone>
        </a:blip>
        <a:tile tx="0" ty="0" sx="100000" sy="100000" flip="none" algn="tl"/>
      </a:blipFill>
    </a:bgFillStyleLst>
  </a:fmtScheme>
</a:themeOverride>
</file>

<file path=word/theme/themeOverride2.xml><?xml version="1.0" encoding="utf-8"?>
<a:themeOverride xmlns:a="http://schemas.openxmlformats.org/drawingml/2006/main">
  <a:clrScheme name="Аптека">
    <a:dk1>
      <a:sysClr val="windowText" lastClr="000000"/>
    </a:dk1>
    <a:lt1>
      <a:sysClr val="window" lastClr="FFFFFF"/>
    </a:lt1>
    <a:dk2>
      <a:srgbClr val="564B3C"/>
    </a:dk2>
    <a:lt2>
      <a:srgbClr val="ECEDD1"/>
    </a:lt2>
    <a:accent1>
      <a:srgbClr val="93A299"/>
    </a:accent1>
    <a:accent2>
      <a:srgbClr val="CF543F"/>
    </a:accent2>
    <a:accent3>
      <a:srgbClr val="B5AE53"/>
    </a:accent3>
    <a:accent4>
      <a:srgbClr val="848058"/>
    </a:accent4>
    <a:accent5>
      <a:srgbClr val="E8B54D"/>
    </a:accent5>
    <a:accent6>
      <a:srgbClr val="786C71"/>
    </a:accent6>
    <a:hlink>
      <a:srgbClr val="CCCC00"/>
    </a:hlink>
    <a:folHlink>
      <a:srgbClr val="B2B2B2"/>
    </a:folHlink>
  </a:clrScheme>
  <a:fontScheme name="Аптека">
    <a:majorFont>
      <a:latin typeface="Book Antiqua"/>
      <a:ea typeface=""/>
      <a:cs typeface=""/>
      <a:font script="Jpan" typeface="HGS明朝B"/>
      <a:font script="Hang" typeface="HY견명조"/>
      <a:font script="Hans" typeface="宋体"/>
      <a:font script="Hant" typeface="新細明體"/>
      <a:font script="Arab" typeface="Times New Roman"/>
      <a:font script="Hebr" typeface="David"/>
      <a:font script="Thai" typeface="EucrosiaUPC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entury Gothic"/>
      <a:ea typeface=""/>
      <a:cs typeface=""/>
      <a:font script="Jpan" typeface="ＭＳ ゴシック"/>
      <a:font script="Hang" typeface="HY견명조"/>
      <a:font script="Hans" typeface="幼圆"/>
      <a:font script="Hant" typeface="微軟正黑體"/>
      <a:font script="Arab" typeface="Tahoma"/>
      <a:font script="Hebr" typeface="Gisha"/>
      <a:font script="Thai" typeface="Dillenia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Verdana"/>
      <a:font script="Uigh" typeface="Microsoft Uighur"/>
      <a:font script="Geor" typeface="Sylfaen"/>
    </a:minorFont>
  </a:fontScheme>
  <a:fmtScheme name="Аптека">
    <a:fillStyleLst>
      <a:solidFill>
        <a:schemeClr val="phClr"/>
      </a:solidFill>
      <a:gradFill rotWithShape="1">
        <a:gsLst>
          <a:gs pos="0">
            <a:schemeClr val="phClr">
              <a:tint val="1000"/>
              <a:satMod val="100000"/>
            </a:schemeClr>
          </a:gs>
          <a:gs pos="68000">
            <a:schemeClr val="phClr">
              <a:tint val="77000"/>
              <a:satMod val="100000"/>
            </a:schemeClr>
          </a:gs>
          <a:gs pos="81000">
            <a:schemeClr val="phClr">
              <a:tint val="79000"/>
              <a:satMod val="100000"/>
            </a:schemeClr>
          </a:gs>
          <a:gs pos="86000">
            <a:schemeClr val="phClr">
              <a:tint val="73000"/>
              <a:satMod val="100000"/>
            </a:schemeClr>
          </a:gs>
          <a:gs pos="100000">
            <a:schemeClr val="phClr">
              <a:tint val="35000"/>
              <a:satMod val="100000"/>
            </a:schemeClr>
          </a:gs>
        </a:gsLst>
        <a:lin ang="5400000" scaled="0"/>
      </a:gradFill>
      <a:gradFill rotWithShape="1">
        <a:gsLst>
          <a:gs pos="0">
            <a:schemeClr val="phClr">
              <a:tint val="73000"/>
              <a:shade val="100000"/>
              <a:satMod val="150000"/>
            </a:schemeClr>
          </a:gs>
          <a:gs pos="25000">
            <a:schemeClr val="phClr">
              <a:tint val="96000"/>
              <a:shade val="80000"/>
              <a:satMod val="105000"/>
            </a:schemeClr>
          </a:gs>
          <a:gs pos="38000">
            <a:schemeClr val="phClr">
              <a:tint val="96000"/>
              <a:shade val="59000"/>
              <a:satMod val="120000"/>
            </a:schemeClr>
          </a:gs>
          <a:gs pos="55000">
            <a:schemeClr val="phClr">
              <a:tint val="100000"/>
              <a:shade val="57000"/>
              <a:satMod val="120000"/>
            </a:schemeClr>
          </a:gs>
          <a:gs pos="80000">
            <a:schemeClr val="phClr">
              <a:tint val="100000"/>
              <a:shade val="56000"/>
              <a:satMod val="145000"/>
            </a:schemeClr>
          </a:gs>
          <a:gs pos="88000">
            <a:schemeClr val="phClr">
              <a:tint val="100000"/>
              <a:shade val="63000"/>
              <a:satMod val="160000"/>
            </a:schemeClr>
          </a:gs>
          <a:gs pos="100000">
            <a:schemeClr val="phClr">
              <a:tint val="99000"/>
              <a:shade val="100000"/>
              <a:satMod val="155000"/>
            </a:schemeClr>
          </a:gs>
        </a:gsLst>
        <a:lin ang="54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/>
      </a:effectStyle>
      <a:effectStyle>
        <a:effectLst/>
        <a:scene3d>
          <a:camera prst="orthographicFront">
            <a:rot lat="0" lon="0" rev="0"/>
          </a:camera>
          <a:lightRig rig="glow" dir="tl">
            <a:rot lat="0" lon="0" rev="1800000"/>
          </a:lightRig>
        </a:scene3d>
        <a:sp3d contourW="10160" prstMaterial="dkEdge">
          <a:bevelT w="0" h="0" prst="angle"/>
          <a:contourClr>
            <a:schemeClr val="phClr">
              <a:shade val="30000"/>
              <a:satMod val="150000"/>
            </a:schemeClr>
          </a:contourClr>
        </a:sp3d>
      </a:effectStyle>
      <a:effectStyle>
        <a:effectLst>
          <a:glow rad="50800">
            <a:schemeClr val="phClr">
              <a:tint val="68000"/>
              <a:shade val="93000"/>
              <a:alpha val="37000"/>
              <a:satMod val="250000"/>
            </a:schemeClr>
          </a:glow>
        </a:effectLst>
        <a:scene3d>
          <a:camera prst="orthographicFront">
            <a:rot lat="0" lon="0" rev="0"/>
          </a:camera>
          <a:lightRig rig="glow" dir="t">
            <a:rot lat="0" lon="0" rev="1800000"/>
          </a:lightRig>
        </a:scene3d>
        <a:sp3d contourW="10160" prstMaterial="dkEdge">
          <a:bevelT w="20320" h="19050" prst="angle"/>
          <a:contourClr>
            <a:schemeClr val="phClr">
              <a:shade val="30000"/>
              <a:satMod val="150000"/>
            </a:schemeClr>
          </a:contourClr>
        </a:sp3d>
      </a:effectStyle>
    </a:effectStyleLst>
    <a:bgFillStyleLst>
      <a:solidFill>
        <a:schemeClr val="phClr"/>
      </a:solidFill>
      <a:solidFill>
        <a:schemeClr val="phClr">
          <a:tint val="93000"/>
          <a:satMod val="140000"/>
        </a:schemeClr>
      </a:solidFill>
      <a:blipFill rotWithShape="1">
        <a:blip xmlns:r="http://schemas.openxmlformats.org/officeDocument/2006/relationships" r:embed="rId1">
          <a:duotone>
            <a:schemeClr val="phClr">
              <a:tint val="70000"/>
              <a:satMod val="170000"/>
            </a:schemeClr>
            <a:schemeClr val="phClr">
              <a:shade val="70000"/>
              <a:satMod val="130000"/>
            </a:schemeClr>
          </a:duotone>
        </a:blip>
        <a:tile tx="0" ty="0" sx="100000" sy="100000" flip="none" algn="tl"/>
      </a:blip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1AD89-0DDF-410F-A1A6-D653F079C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6963</TotalTime>
  <Pages>13</Pages>
  <Words>4634</Words>
  <Characters>26416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Контрольный счетный орган</dc:creator>
  <cp:keywords/>
  <dc:description/>
  <cp:lastModifiedBy>Пономарева Валентина Васильевна</cp:lastModifiedBy>
  <cp:revision>120</cp:revision>
  <cp:lastPrinted>2026-05-15T07:20:00Z</cp:lastPrinted>
  <dcterms:created xsi:type="dcterms:W3CDTF">2021-08-09T09:51:00Z</dcterms:created>
  <dcterms:modified xsi:type="dcterms:W3CDTF">2026-06-26T06:54:00Z</dcterms:modified>
</cp:coreProperties>
</file>