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AF1F9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Экспертное з</w:t>
      </w:r>
      <w:r w:rsidR="0047446A" w:rsidRPr="004D724A">
        <w:rPr>
          <w:b/>
          <w:color w:val="000000"/>
          <w:spacing w:val="3"/>
          <w:sz w:val="24"/>
          <w:szCs w:val="24"/>
        </w:rPr>
        <w:t>аключение</w:t>
      </w:r>
    </w:p>
    <w:p w:rsidR="0047446A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на проект Решения Совета депутатов муниципального образования</w:t>
      </w:r>
    </w:p>
    <w:p w:rsidR="003F5DB1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</w:t>
      </w:r>
      <w:r w:rsidR="007F1328">
        <w:rPr>
          <w:b/>
          <w:color w:val="000000"/>
          <w:spacing w:val="3"/>
          <w:sz w:val="24"/>
          <w:szCs w:val="24"/>
        </w:rPr>
        <w:t>Муниципальн</w:t>
      </w:r>
      <w:r w:rsidR="00914BE3">
        <w:rPr>
          <w:b/>
          <w:color w:val="000000"/>
          <w:spacing w:val="3"/>
          <w:sz w:val="24"/>
          <w:szCs w:val="24"/>
        </w:rPr>
        <w:t>ый</w:t>
      </w:r>
      <w:r w:rsidR="007F1328">
        <w:rPr>
          <w:b/>
          <w:color w:val="000000"/>
          <w:spacing w:val="3"/>
          <w:sz w:val="24"/>
          <w:szCs w:val="24"/>
        </w:rPr>
        <w:t xml:space="preserve"> округ </w:t>
      </w:r>
      <w:r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7F1328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Pr="004D724A">
        <w:rPr>
          <w:b/>
          <w:color w:val="000000"/>
          <w:spacing w:val="3"/>
          <w:sz w:val="24"/>
          <w:szCs w:val="24"/>
        </w:rPr>
        <w:t xml:space="preserve">» «О </w:t>
      </w:r>
      <w:r>
        <w:rPr>
          <w:b/>
          <w:color w:val="000000"/>
          <w:spacing w:val="3"/>
          <w:sz w:val="24"/>
          <w:szCs w:val="24"/>
        </w:rPr>
        <w:t>внесении изменений в Решение Совета депутатов муниципального образования 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>
        <w:rPr>
          <w:b/>
          <w:color w:val="000000"/>
          <w:spacing w:val="3"/>
          <w:sz w:val="24"/>
          <w:szCs w:val="24"/>
        </w:rPr>
        <w:t xml:space="preserve">» от </w:t>
      </w:r>
      <w:r w:rsidR="005161C1">
        <w:rPr>
          <w:b/>
          <w:color w:val="000000"/>
          <w:spacing w:val="3"/>
          <w:sz w:val="24"/>
          <w:szCs w:val="24"/>
        </w:rPr>
        <w:t>22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</w:t>
      </w:r>
      <w:r w:rsidR="005161C1">
        <w:rPr>
          <w:b/>
          <w:color w:val="000000"/>
          <w:spacing w:val="3"/>
          <w:sz w:val="24"/>
          <w:szCs w:val="24"/>
        </w:rPr>
        <w:t>1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0338E4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/</w:t>
      </w:r>
      <w:r w:rsidR="000338E4">
        <w:rPr>
          <w:b/>
          <w:color w:val="000000"/>
          <w:spacing w:val="3"/>
          <w:sz w:val="24"/>
          <w:szCs w:val="24"/>
        </w:rPr>
        <w:t>12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1</w:t>
      </w:r>
    </w:p>
    <w:p w:rsidR="003F5DB1" w:rsidRPr="004D724A" w:rsidRDefault="0047446A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="003F5DB1" w:rsidRPr="004D724A">
        <w:rPr>
          <w:b/>
          <w:color w:val="000000"/>
          <w:spacing w:val="3"/>
          <w:sz w:val="24"/>
          <w:szCs w:val="24"/>
        </w:rPr>
        <w:t>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 w:rsidR="003F5DB1"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="003F5DB1" w:rsidRPr="004D724A">
        <w:rPr>
          <w:b/>
          <w:color w:val="000000"/>
          <w:spacing w:val="3"/>
          <w:sz w:val="24"/>
          <w:szCs w:val="24"/>
        </w:rPr>
        <w:t>» на 20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2</w:t>
      </w:r>
      <w:r w:rsidR="003F5DB1" w:rsidRPr="004D724A">
        <w:rPr>
          <w:b/>
          <w:color w:val="000000"/>
          <w:spacing w:val="3"/>
          <w:sz w:val="24"/>
          <w:szCs w:val="24"/>
        </w:rPr>
        <w:t xml:space="preserve"> год</w:t>
      </w:r>
      <w:r w:rsidR="003F5DB1">
        <w:rPr>
          <w:b/>
          <w:color w:val="000000"/>
          <w:spacing w:val="3"/>
          <w:sz w:val="24"/>
          <w:szCs w:val="24"/>
        </w:rPr>
        <w:t xml:space="preserve"> и на плановый период 202</w:t>
      </w:r>
      <w:r w:rsidR="000338E4">
        <w:rPr>
          <w:b/>
          <w:color w:val="000000"/>
          <w:spacing w:val="3"/>
          <w:sz w:val="24"/>
          <w:szCs w:val="24"/>
        </w:rPr>
        <w:t>3</w:t>
      </w:r>
      <w:r w:rsidR="003F5DB1">
        <w:rPr>
          <w:b/>
          <w:color w:val="000000"/>
          <w:spacing w:val="3"/>
          <w:sz w:val="24"/>
          <w:szCs w:val="24"/>
        </w:rPr>
        <w:t xml:space="preserve"> и 202</w:t>
      </w:r>
      <w:r w:rsidR="000338E4">
        <w:rPr>
          <w:b/>
          <w:color w:val="000000"/>
          <w:spacing w:val="3"/>
          <w:sz w:val="24"/>
          <w:szCs w:val="24"/>
        </w:rPr>
        <w:t>4</w:t>
      </w:r>
      <w:r w:rsidR="003F5DB1">
        <w:rPr>
          <w:b/>
          <w:color w:val="000000"/>
          <w:spacing w:val="3"/>
          <w:sz w:val="24"/>
          <w:szCs w:val="24"/>
        </w:rPr>
        <w:t xml:space="preserve"> годов</w:t>
      </w:r>
      <w:r w:rsidR="003F5DB1"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</w:t>
      </w:r>
      <w:r w:rsidR="00EB24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w:r w:rsidR="002A09CC">
        <w:rPr>
          <w:sz w:val="24"/>
          <w:szCs w:val="24"/>
        </w:rPr>
        <w:t>2</w:t>
      </w:r>
      <w:r w:rsidR="00397660">
        <w:rPr>
          <w:sz w:val="24"/>
          <w:szCs w:val="24"/>
        </w:rPr>
        <w:t>2</w:t>
      </w:r>
      <w:r w:rsidR="002A09CC">
        <w:rPr>
          <w:sz w:val="24"/>
          <w:szCs w:val="24"/>
        </w:rPr>
        <w:t xml:space="preserve"> сентября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338E4">
        <w:rPr>
          <w:sz w:val="24"/>
          <w:szCs w:val="24"/>
        </w:rPr>
        <w:t>2</w:t>
      </w:r>
      <w:r w:rsidRPr="00375681">
        <w:rPr>
          <w:sz w:val="24"/>
          <w:szCs w:val="24"/>
        </w:rPr>
        <w:t xml:space="preserve"> года</w:t>
      </w:r>
    </w:p>
    <w:p w:rsidR="002A09CC" w:rsidRDefault="002A09CC" w:rsidP="00986766">
      <w:pPr>
        <w:tabs>
          <w:tab w:val="left" w:pos="567"/>
          <w:tab w:val="left" w:pos="18286"/>
        </w:tabs>
        <w:ind w:right="172"/>
        <w:jc w:val="both"/>
        <w:rPr>
          <w:color w:val="C2D69B"/>
          <w:sz w:val="26"/>
          <w:szCs w:val="26"/>
        </w:rPr>
      </w:pP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 xml:space="preserve">» (далее – </w:t>
      </w:r>
      <w:r w:rsidR="000338E4">
        <w:rPr>
          <w:sz w:val="26"/>
          <w:szCs w:val="26"/>
        </w:rPr>
        <w:t>КСО Каракулинского района</w:t>
      </w:r>
      <w:r w:rsidRPr="00221F5C">
        <w:rPr>
          <w:sz w:val="26"/>
          <w:szCs w:val="26"/>
        </w:rPr>
        <w:t>) на проект Решения Совета депутатов муниципального образования «</w:t>
      </w:r>
      <w:r w:rsidR="007F1328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7F1328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="000338E4"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color w:val="000000"/>
          <w:spacing w:val="3"/>
          <w:sz w:val="26"/>
          <w:szCs w:val="26"/>
        </w:rPr>
        <w:t xml:space="preserve">» от </w:t>
      </w:r>
      <w:r w:rsidR="000338E4">
        <w:rPr>
          <w:color w:val="000000"/>
          <w:spacing w:val="3"/>
          <w:sz w:val="26"/>
          <w:szCs w:val="26"/>
        </w:rPr>
        <w:t>22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815F71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/</w:t>
      </w:r>
      <w:r w:rsidR="00815F71">
        <w:rPr>
          <w:color w:val="000000"/>
          <w:spacing w:val="3"/>
          <w:sz w:val="26"/>
          <w:szCs w:val="26"/>
        </w:rPr>
        <w:t>12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F21C2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</w:t>
      </w:r>
      <w:r w:rsidR="00E40411">
        <w:rPr>
          <w:sz w:val="26"/>
          <w:szCs w:val="26"/>
        </w:rPr>
        <w:t>3,4,5</w:t>
      </w:r>
      <w:r w:rsidR="00B24A41">
        <w:rPr>
          <w:sz w:val="26"/>
          <w:szCs w:val="26"/>
        </w:rPr>
        <w:t>,</w:t>
      </w:r>
      <w:r w:rsidRPr="00221F5C">
        <w:rPr>
          <w:sz w:val="26"/>
          <w:szCs w:val="26"/>
        </w:rPr>
        <w:t xml:space="preserve"> и Пояснительной запиской</w:t>
      </w:r>
      <w:r w:rsidR="00CF444F">
        <w:rPr>
          <w:sz w:val="26"/>
          <w:szCs w:val="26"/>
        </w:rPr>
        <w:t xml:space="preserve"> к нему за подписью начальника Управления финансов</w:t>
      </w:r>
      <w:r w:rsidR="00CF444F" w:rsidRPr="00CF444F">
        <w:rPr>
          <w:sz w:val="26"/>
          <w:szCs w:val="26"/>
        </w:rPr>
        <w:t xml:space="preserve"> </w:t>
      </w:r>
      <w:r w:rsidR="00CF444F" w:rsidRPr="00221F5C">
        <w:rPr>
          <w:sz w:val="26"/>
          <w:szCs w:val="26"/>
        </w:rPr>
        <w:t>муниципального образ</w:t>
      </w:r>
      <w:r w:rsidR="00CF444F">
        <w:rPr>
          <w:sz w:val="26"/>
          <w:szCs w:val="26"/>
        </w:rPr>
        <w:t xml:space="preserve">ования «Муниципальный округ </w:t>
      </w:r>
      <w:r w:rsidR="00CF444F" w:rsidRPr="00221F5C">
        <w:rPr>
          <w:sz w:val="26"/>
          <w:szCs w:val="26"/>
        </w:rPr>
        <w:t>Каракулинский район</w:t>
      </w:r>
      <w:r w:rsidR="00CF444F">
        <w:rPr>
          <w:sz w:val="26"/>
          <w:szCs w:val="26"/>
        </w:rPr>
        <w:t xml:space="preserve"> Удмуртской Республики» Коренева С.Н.</w:t>
      </w:r>
      <w:r w:rsidR="00525698">
        <w:rPr>
          <w:sz w:val="26"/>
          <w:szCs w:val="26"/>
        </w:rPr>
        <w:t>,</w:t>
      </w:r>
      <w:r w:rsidR="00CF444F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поступил в Контрольно-счетный орган муниципального образ</w:t>
      </w:r>
      <w:r>
        <w:rPr>
          <w:sz w:val="26"/>
          <w:szCs w:val="26"/>
        </w:rPr>
        <w:t>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- </w:t>
      </w:r>
      <w:r w:rsidR="002A09CC">
        <w:rPr>
          <w:sz w:val="26"/>
          <w:szCs w:val="26"/>
        </w:rPr>
        <w:t>1</w:t>
      </w:r>
      <w:r w:rsidR="00B24A41">
        <w:rPr>
          <w:sz w:val="26"/>
          <w:szCs w:val="26"/>
        </w:rPr>
        <w:t>9</w:t>
      </w:r>
      <w:r w:rsidRPr="00221F5C">
        <w:rPr>
          <w:sz w:val="26"/>
          <w:szCs w:val="26"/>
        </w:rPr>
        <w:t>.</w:t>
      </w:r>
      <w:r w:rsidR="00815F71">
        <w:rPr>
          <w:sz w:val="26"/>
          <w:szCs w:val="26"/>
        </w:rPr>
        <w:t>0</w:t>
      </w:r>
      <w:r w:rsidR="002A09CC">
        <w:rPr>
          <w:sz w:val="26"/>
          <w:szCs w:val="26"/>
        </w:rPr>
        <w:t>9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г.</w:t>
      </w:r>
    </w:p>
    <w:p w:rsidR="00774A8E" w:rsidRDefault="004F21C2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774A8E">
        <w:rPr>
          <w:sz w:val="26"/>
          <w:szCs w:val="26"/>
          <w:lang w:eastAsia="en-US"/>
        </w:rPr>
        <w:t xml:space="preserve">  Настоящим проектом Решения</w:t>
      </w:r>
      <w:r w:rsidR="00774A8E">
        <w:rPr>
          <w:sz w:val="26"/>
          <w:szCs w:val="26"/>
        </w:rPr>
        <w:t xml:space="preserve"> в решение Совета депутатов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 xml:space="preserve">» от </w:t>
      </w:r>
      <w:r w:rsidR="00815F71">
        <w:rPr>
          <w:sz w:val="26"/>
          <w:szCs w:val="26"/>
        </w:rPr>
        <w:t>22</w:t>
      </w:r>
      <w:r w:rsidR="00774A8E">
        <w:rPr>
          <w:sz w:val="26"/>
          <w:szCs w:val="26"/>
        </w:rPr>
        <w:t xml:space="preserve"> декабря 202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года №</w:t>
      </w:r>
      <w:r w:rsidR="00815F71">
        <w:rPr>
          <w:sz w:val="26"/>
          <w:szCs w:val="26"/>
        </w:rPr>
        <w:t>6</w:t>
      </w:r>
      <w:r w:rsidR="00774A8E">
        <w:rPr>
          <w:sz w:val="26"/>
          <w:szCs w:val="26"/>
        </w:rPr>
        <w:t>/</w:t>
      </w:r>
      <w:r w:rsidR="00815F71">
        <w:rPr>
          <w:sz w:val="26"/>
          <w:szCs w:val="26"/>
        </w:rPr>
        <w:t>12</w:t>
      </w:r>
      <w:r w:rsidR="00774A8E">
        <w:rPr>
          <w:sz w:val="26"/>
          <w:szCs w:val="26"/>
        </w:rPr>
        <w:t>-2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 w:rsidR="00774A8E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="00774A8E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="00774A8E">
        <w:rPr>
          <w:sz w:val="26"/>
          <w:szCs w:val="26"/>
        </w:rPr>
        <w:t xml:space="preserve"> годов» (далее – проект Бюджета) изменения вносятся в </w:t>
      </w:r>
      <w:r w:rsidR="002B3261">
        <w:rPr>
          <w:sz w:val="26"/>
          <w:szCs w:val="26"/>
        </w:rPr>
        <w:t xml:space="preserve">четвертый </w:t>
      </w:r>
      <w:r w:rsidR="00774A8E">
        <w:rPr>
          <w:sz w:val="26"/>
          <w:szCs w:val="26"/>
        </w:rPr>
        <w:t xml:space="preserve">раз. 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</w:t>
      </w:r>
      <w:r w:rsidRPr="00221F5C">
        <w:rPr>
          <w:sz w:val="26"/>
          <w:szCs w:val="26"/>
        </w:rPr>
        <w:t xml:space="preserve">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</w:t>
      </w:r>
      <w:r w:rsidR="008F5DC7">
        <w:rPr>
          <w:sz w:val="26"/>
          <w:szCs w:val="26"/>
        </w:rPr>
        <w:t>3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4</w:t>
      </w:r>
      <w:r w:rsidRPr="00221F5C">
        <w:rPr>
          <w:sz w:val="26"/>
          <w:szCs w:val="26"/>
        </w:rPr>
        <w:t>,</w:t>
      </w:r>
      <w:r w:rsidR="00B35C6B">
        <w:rPr>
          <w:sz w:val="26"/>
          <w:szCs w:val="26"/>
        </w:rPr>
        <w:t>5</w:t>
      </w:r>
      <w:r w:rsidR="00B24A41">
        <w:rPr>
          <w:sz w:val="26"/>
          <w:szCs w:val="26"/>
        </w:rPr>
        <w:t>,</w:t>
      </w:r>
      <w:r w:rsidR="004E4814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к</w:t>
      </w:r>
      <w:r w:rsidR="00A03B24">
        <w:rPr>
          <w:sz w:val="26"/>
          <w:szCs w:val="26"/>
        </w:rPr>
        <w:t xml:space="preserve"> Решению о бюджете, дополнив и </w:t>
      </w:r>
      <w:r w:rsidRPr="00221F5C">
        <w:rPr>
          <w:sz w:val="26"/>
          <w:szCs w:val="26"/>
        </w:rPr>
        <w:t xml:space="preserve">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2B3261">
      <w:pPr>
        <w:ind w:firstLine="720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</w:t>
      </w:r>
      <w:r w:rsidR="00B24A41">
        <w:rPr>
          <w:sz w:val="26"/>
          <w:szCs w:val="26"/>
        </w:rPr>
        <w:t>,</w:t>
      </w:r>
      <w:r w:rsidR="00B24A41" w:rsidRPr="00B24A41">
        <w:rPr>
          <w:b/>
          <w:sz w:val="22"/>
          <w:szCs w:val="22"/>
        </w:rPr>
        <w:t xml:space="preserve"> </w:t>
      </w:r>
      <w:r w:rsidR="00B24A41">
        <w:rPr>
          <w:sz w:val="26"/>
          <w:szCs w:val="26"/>
        </w:rPr>
        <w:t>программу</w:t>
      </w:r>
      <w:r w:rsidR="00B24A41" w:rsidRPr="00B24A41">
        <w:rPr>
          <w:sz w:val="26"/>
          <w:szCs w:val="26"/>
        </w:rPr>
        <w:t xml:space="preserve"> муниципальных внутренних </w:t>
      </w:r>
      <w:r w:rsidR="002B3261">
        <w:rPr>
          <w:sz w:val="26"/>
          <w:szCs w:val="26"/>
        </w:rPr>
        <w:t>заимствован</w:t>
      </w:r>
      <w:r w:rsidR="002B3261" w:rsidRPr="00B24A41">
        <w:rPr>
          <w:sz w:val="26"/>
          <w:szCs w:val="26"/>
        </w:rPr>
        <w:t>ий</w:t>
      </w:r>
      <w:r w:rsidRPr="00221F5C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2B2485" w:rsidRPr="00DB73E4">
        <w:rPr>
          <w:sz w:val="26"/>
          <w:szCs w:val="26"/>
        </w:rPr>
        <w:t>муниципального обр</w:t>
      </w:r>
      <w:r w:rsidR="002B2485">
        <w:rPr>
          <w:sz w:val="26"/>
          <w:szCs w:val="26"/>
        </w:rPr>
        <w:t xml:space="preserve">азования «Муниципальный округ </w:t>
      </w:r>
      <w:r w:rsidR="002B2485" w:rsidRPr="00221F5C">
        <w:rPr>
          <w:sz w:val="26"/>
          <w:szCs w:val="26"/>
        </w:rPr>
        <w:t>Каракулинский район</w:t>
      </w:r>
      <w:r w:rsidR="002B2485">
        <w:rPr>
          <w:sz w:val="26"/>
          <w:szCs w:val="26"/>
        </w:rPr>
        <w:t xml:space="preserve"> Удмуртской Республики» на 2022год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и плановый период 2023 и</w:t>
      </w:r>
      <w:r w:rsidR="00B24A41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2024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годов.</w:t>
      </w:r>
      <w:r w:rsidR="002B3261">
        <w:rPr>
          <w:sz w:val="26"/>
          <w:szCs w:val="26"/>
        </w:rPr>
        <w:t xml:space="preserve">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</w:t>
      </w:r>
      <w:r w:rsidR="007F1328">
        <w:rPr>
          <w:sz w:val="26"/>
          <w:szCs w:val="26"/>
        </w:rPr>
        <w:t>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F1328">
        <w:rPr>
          <w:sz w:val="26"/>
          <w:szCs w:val="26"/>
        </w:rPr>
        <w:t xml:space="preserve">» </w:t>
      </w:r>
      <w:r w:rsidRPr="00DB73E4">
        <w:rPr>
          <w:sz w:val="26"/>
          <w:szCs w:val="26"/>
        </w:rPr>
        <w:t>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1D5286">
        <w:rPr>
          <w:sz w:val="24"/>
          <w:szCs w:val="24"/>
        </w:rPr>
        <w:t>Изменен</w:t>
      </w:r>
      <w:r w:rsidRPr="00DB73E4">
        <w:rPr>
          <w:sz w:val="24"/>
          <w:szCs w:val="24"/>
        </w:rPr>
        <w:t>ие основных характеристик бюджета муниципального образования «Каракулинский район» на 202</w:t>
      </w:r>
      <w:r w:rsidR="009445FA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год и на плановый период 202</w:t>
      </w:r>
      <w:r w:rsidR="009445FA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и 202</w:t>
      </w:r>
      <w:r w:rsidR="009445FA">
        <w:rPr>
          <w:sz w:val="24"/>
          <w:szCs w:val="24"/>
        </w:rPr>
        <w:t>4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851"/>
        <w:gridCol w:w="850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824E5C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3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</w:tr>
      <w:tr w:rsidR="002B3261" w:rsidRPr="00012361" w:rsidTr="00824E5C">
        <w:tc>
          <w:tcPr>
            <w:tcW w:w="2268" w:type="dxa"/>
            <w:tcBorders>
              <w:top w:val="single" w:sz="12" w:space="0" w:color="000000"/>
            </w:tcBorders>
          </w:tcPr>
          <w:p w:rsidR="002B3261" w:rsidRPr="00012361" w:rsidRDefault="002B3261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614278,7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434665,9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444004,0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6F2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635046,1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2B3261" w:rsidRPr="007E1477" w:rsidRDefault="004D51E9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20767,4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B3261" w:rsidRPr="007E1477" w:rsidRDefault="004D51E9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1130,7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2B3261" w:rsidRPr="007E1477" w:rsidRDefault="004D51E9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704,5</w:t>
            </w:r>
          </w:p>
        </w:tc>
      </w:tr>
      <w:tr w:rsidR="002B3261" w:rsidRPr="00012361" w:rsidTr="00824E5C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3261" w:rsidRPr="00012361" w:rsidRDefault="002B3261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2B3261" w:rsidRPr="005C2560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435224,1</w:t>
            </w:r>
          </w:p>
        </w:tc>
        <w:tc>
          <w:tcPr>
            <w:tcW w:w="919" w:type="dxa"/>
            <w:vAlign w:val="center"/>
          </w:tcPr>
          <w:p w:rsidR="002B3261" w:rsidRPr="005C2560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253823,7</w:t>
            </w:r>
          </w:p>
        </w:tc>
        <w:tc>
          <w:tcPr>
            <w:tcW w:w="938" w:type="dxa"/>
            <w:vAlign w:val="center"/>
          </w:tcPr>
          <w:p w:rsidR="002B3261" w:rsidRPr="005C2560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261442,4</w:t>
            </w:r>
          </w:p>
        </w:tc>
        <w:tc>
          <w:tcPr>
            <w:tcW w:w="929" w:type="dxa"/>
            <w:vAlign w:val="center"/>
          </w:tcPr>
          <w:p w:rsidR="002B3261" w:rsidRPr="005C2560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446579,3</w:t>
            </w:r>
          </w:p>
        </w:tc>
        <w:tc>
          <w:tcPr>
            <w:tcW w:w="993" w:type="dxa"/>
            <w:vAlign w:val="center"/>
          </w:tcPr>
          <w:p w:rsidR="002B3261" w:rsidRPr="005C2560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254954,4</w:t>
            </w:r>
          </w:p>
        </w:tc>
        <w:tc>
          <w:tcPr>
            <w:tcW w:w="992" w:type="dxa"/>
            <w:vAlign w:val="center"/>
          </w:tcPr>
          <w:p w:rsidR="002B3261" w:rsidRPr="005C2560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262146,9</w:t>
            </w:r>
          </w:p>
        </w:tc>
        <w:tc>
          <w:tcPr>
            <w:tcW w:w="992" w:type="dxa"/>
            <w:vAlign w:val="center"/>
          </w:tcPr>
          <w:p w:rsidR="002B3261" w:rsidRPr="007E1477" w:rsidRDefault="00FD7D68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11355,1</w:t>
            </w:r>
          </w:p>
        </w:tc>
        <w:tc>
          <w:tcPr>
            <w:tcW w:w="851" w:type="dxa"/>
            <w:vAlign w:val="center"/>
          </w:tcPr>
          <w:p w:rsidR="002B3261" w:rsidRPr="007E1477" w:rsidRDefault="00FD7D68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1130,7</w:t>
            </w:r>
          </w:p>
        </w:tc>
        <w:tc>
          <w:tcPr>
            <w:tcW w:w="850" w:type="dxa"/>
            <w:vAlign w:val="center"/>
          </w:tcPr>
          <w:p w:rsidR="002B3261" w:rsidRPr="007E1477" w:rsidRDefault="00FD7D68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704,5</w:t>
            </w:r>
          </w:p>
        </w:tc>
      </w:tr>
      <w:tr w:rsidR="002B3261" w:rsidRPr="00012361" w:rsidTr="00824E5C">
        <w:tc>
          <w:tcPr>
            <w:tcW w:w="2268" w:type="dxa"/>
          </w:tcPr>
          <w:p w:rsidR="002B3261" w:rsidRPr="00012361" w:rsidRDefault="002B3261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2B3261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647368,0</w:t>
            </w:r>
          </w:p>
        </w:tc>
        <w:tc>
          <w:tcPr>
            <w:tcW w:w="919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434665,9</w:t>
            </w:r>
          </w:p>
        </w:tc>
        <w:tc>
          <w:tcPr>
            <w:tcW w:w="938" w:type="dxa"/>
            <w:vAlign w:val="center"/>
          </w:tcPr>
          <w:p w:rsidR="002B3261" w:rsidRPr="007E1477" w:rsidRDefault="00FD7D68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444004,0</w:t>
            </w:r>
          </w:p>
        </w:tc>
        <w:tc>
          <w:tcPr>
            <w:tcW w:w="929" w:type="dxa"/>
            <w:vAlign w:val="center"/>
          </w:tcPr>
          <w:p w:rsidR="002B3261" w:rsidRPr="007E1477" w:rsidRDefault="002B3261" w:rsidP="00CA469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668135,4</w:t>
            </w:r>
          </w:p>
        </w:tc>
        <w:tc>
          <w:tcPr>
            <w:tcW w:w="993" w:type="dxa"/>
            <w:vAlign w:val="center"/>
          </w:tcPr>
          <w:p w:rsidR="002B3261" w:rsidRPr="007E1477" w:rsidRDefault="002150E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435796,6</w:t>
            </w:r>
          </w:p>
        </w:tc>
        <w:tc>
          <w:tcPr>
            <w:tcW w:w="992" w:type="dxa"/>
            <w:vAlign w:val="center"/>
          </w:tcPr>
          <w:p w:rsidR="002B3261" w:rsidRPr="007E1477" w:rsidRDefault="002150E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444708,5</w:t>
            </w:r>
          </w:p>
        </w:tc>
        <w:tc>
          <w:tcPr>
            <w:tcW w:w="992" w:type="dxa"/>
            <w:vAlign w:val="center"/>
          </w:tcPr>
          <w:p w:rsidR="002B3261" w:rsidRPr="007E1477" w:rsidRDefault="00FD7D68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20767,4</w:t>
            </w:r>
          </w:p>
        </w:tc>
        <w:tc>
          <w:tcPr>
            <w:tcW w:w="851" w:type="dxa"/>
            <w:vAlign w:val="center"/>
          </w:tcPr>
          <w:p w:rsidR="002B3261" w:rsidRPr="007E1477" w:rsidRDefault="00FD7D68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1130,7</w:t>
            </w:r>
          </w:p>
        </w:tc>
        <w:tc>
          <w:tcPr>
            <w:tcW w:w="850" w:type="dxa"/>
            <w:vAlign w:val="center"/>
          </w:tcPr>
          <w:p w:rsidR="002B3261" w:rsidRPr="007E1477" w:rsidRDefault="00FD7D68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704,5</w:t>
            </w:r>
          </w:p>
        </w:tc>
      </w:tr>
      <w:tr w:rsidR="002B3261" w:rsidRPr="00012361" w:rsidTr="00824E5C">
        <w:tc>
          <w:tcPr>
            <w:tcW w:w="2268" w:type="dxa"/>
          </w:tcPr>
          <w:p w:rsidR="002B3261" w:rsidRPr="00012361" w:rsidRDefault="002B3261" w:rsidP="007B2C33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2B3261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2B3261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2B3261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B3261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2B3261" w:rsidRPr="00012361" w:rsidTr="00824E5C">
        <w:tc>
          <w:tcPr>
            <w:tcW w:w="2268" w:type="dxa"/>
          </w:tcPr>
          <w:p w:rsidR="002B3261" w:rsidRPr="00012361" w:rsidRDefault="002B3261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33089,3</w:t>
            </w:r>
          </w:p>
        </w:tc>
        <w:tc>
          <w:tcPr>
            <w:tcW w:w="919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2B3261" w:rsidRPr="007E1477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B3261" w:rsidRPr="007E1477" w:rsidRDefault="002150E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33089,3</w:t>
            </w:r>
          </w:p>
        </w:tc>
        <w:tc>
          <w:tcPr>
            <w:tcW w:w="993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B3261" w:rsidRPr="007E1477" w:rsidRDefault="002B3261" w:rsidP="00A03B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2B3261" w:rsidRPr="00012361" w:rsidTr="00824E5C">
        <w:tc>
          <w:tcPr>
            <w:tcW w:w="2268" w:type="dxa"/>
          </w:tcPr>
          <w:p w:rsidR="002B3261" w:rsidRPr="007504BC" w:rsidRDefault="002B3261" w:rsidP="00860049">
            <w:r w:rsidRPr="007504BC">
              <w:t>Верхний предел муниципального внутреннего долга</w:t>
            </w:r>
            <w:r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2B3261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31685,0</w:t>
            </w:r>
          </w:p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2B3261" w:rsidRPr="007E1477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2B3261" w:rsidRPr="007E1477" w:rsidRDefault="002150EE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993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Pr="007E1477" w:rsidRDefault="00FD7D68" w:rsidP="00C34F8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15768,9</w:t>
            </w:r>
          </w:p>
        </w:tc>
        <w:tc>
          <w:tcPr>
            <w:tcW w:w="851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2B3261" w:rsidRPr="00012361" w:rsidTr="00824E5C">
        <w:tc>
          <w:tcPr>
            <w:tcW w:w="2268" w:type="dxa"/>
          </w:tcPr>
          <w:p w:rsidR="002B3261" w:rsidRPr="007504BC" w:rsidRDefault="002B3261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1743,3</w:t>
            </w:r>
          </w:p>
        </w:tc>
        <w:tc>
          <w:tcPr>
            <w:tcW w:w="919" w:type="dxa"/>
            <w:vAlign w:val="center"/>
          </w:tcPr>
          <w:p w:rsidR="002B3261" w:rsidRPr="007E1477" w:rsidRDefault="002B3261" w:rsidP="002150E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2B3261" w:rsidRPr="007E1477" w:rsidRDefault="002B326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2B3261" w:rsidRPr="007E1477" w:rsidRDefault="003C75C0" w:rsidP="007A24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1743,3</w:t>
            </w:r>
          </w:p>
        </w:tc>
        <w:tc>
          <w:tcPr>
            <w:tcW w:w="993" w:type="dxa"/>
            <w:vAlign w:val="center"/>
          </w:tcPr>
          <w:p w:rsidR="002B3261" w:rsidRPr="007E1477" w:rsidRDefault="002B3261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3261" w:rsidRPr="00E373D5" w:rsidRDefault="002B3261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B3261" w:rsidRPr="007E1477" w:rsidRDefault="002B326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="002B3261">
        <w:rPr>
          <w:b/>
          <w:sz w:val="26"/>
          <w:szCs w:val="26"/>
        </w:rPr>
        <w:t xml:space="preserve"> 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FE040B">
        <w:rPr>
          <w:sz w:val="26"/>
          <w:szCs w:val="26"/>
        </w:rPr>
        <w:t>20 767,4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</w:t>
      </w:r>
      <w:r w:rsidR="00AA1E76">
        <w:rPr>
          <w:sz w:val="26"/>
          <w:szCs w:val="26"/>
        </w:rPr>
        <w:t>безвозмездные поступления</w:t>
      </w:r>
      <w:r w:rsidR="002B6480" w:rsidRPr="002B6480">
        <w:rPr>
          <w:sz w:val="26"/>
          <w:szCs w:val="26"/>
        </w:rPr>
        <w:t xml:space="preserve"> </w:t>
      </w:r>
      <w:r w:rsidR="002B6480" w:rsidRPr="00BB16B8">
        <w:rPr>
          <w:sz w:val="26"/>
          <w:szCs w:val="26"/>
        </w:rPr>
        <w:t xml:space="preserve">на </w:t>
      </w:r>
      <w:r w:rsidR="002150EE">
        <w:rPr>
          <w:sz w:val="26"/>
          <w:szCs w:val="26"/>
        </w:rPr>
        <w:t>11</w:t>
      </w:r>
      <w:r w:rsidR="00035D46">
        <w:rPr>
          <w:sz w:val="26"/>
          <w:szCs w:val="26"/>
        </w:rPr>
        <w:t> </w:t>
      </w:r>
      <w:r w:rsidR="002150EE">
        <w:rPr>
          <w:sz w:val="26"/>
          <w:szCs w:val="26"/>
        </w:rPr>
        <w:t>355</w:t>
      </w:r>
      <w:r w:rsidR="00035D46">
        <w:rPr>
          <w:sz w:val="26"/>
          <w:szCs w:val="26"/>
        </w:rPr>
        <w:t>,</w:t>
      </w:r>
      <w:r w:rsidR="002150EE">
        <w:rPr>
          <w:sz w:val="26"/>
          <w:szCs w:val="26"/>
        </w:rPr>
        <w:t>1</w:t>
      </w:r>
      <w:r w:rsidR="002B6480">
        <w:rPr>
          <w:sz w:val="26"/>
          <w:szCs w:val="26"/>
        </w:rPr>
        <w:t xml:space="preserve"> </w:t>
      </w:r>
      <w:r w:rsidR="002B6480" w:rsidRPr="00E22BB4">
        <w:rPr>
          <w:sz w:val="26"/>
          <w:szCs w:val="26"/>
        </w:rPr>
        <w:t>тыс. рублей</w:t>
      </w:r>
      <w:r w:rsidR="00AA1E76">
        <w:rPr>
          <w:sz w:val="26"/>
          <w:szCs w:val="26"/>
        </w:rPr>
        <w:t xml:space="preserve">; </w:t>
      </w:r>
    </w:p>
    <w:p w:rsidR="008167AA" w:rsidRDefault="002B6480" w:rsidP="008167AA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46A" w:rsidRPr="00BB16B8">
        <w:rPr>
          <w:sz w:val="26"/>
          <w:szCs w:val="26"/>
        </w:rPr>
        <w:t xml:space="preserve">за счёт </w:t>
      </w:r>
      <w:r w:rsidR="00B97FD6">
        <w:rPr>
          <w:sz w:val="26"/>
          <w:szCs w:val="26"/>
        </w:rPr>
        <w:t xml:space="preserve">дотации </w:t>
      </w:r>
      <w:r w:rsidR="00845643">
        <w:rPr>
          <w:sz w:val="26"/>
          <w:szCs w:val="26"/>
        </w:rPr>
        <w:t>1 112,1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 xml:space="preserve">тыс. рублей, </w:t>
      </w:r>
      <w:r w:rsidR="00845643">
        <w:rPr>
          <w:sz w:val="26"/>
          <w:szCs w:val="26"/>
        </w:rPr>
        <w:t>за счет субсидии</w:t>
      </w:r>
      <w:r w:rsidR="00845643" w:rsidRPr="00BB16B8">
        <w:rPr>
          <w:sz w:val="26"/>
          <w:szCs w:val="26"/>
        </w:rPr>
        <w:t xml:space="preserve"> </w:t>
      </w:r>
      <w:r w:rsidR="00B635CF">
        <w:rPr>
          <w:sz w:val="26"/>
          <w:szCs w:val="26"/>
        </w:rPr>
        <w:t>уменьшить на</w:t>
      </w:r>
      <w:r w:rsidR="00C6277B">
        <w:rPr>
          <w:sz w:val="26"/>
          <w:szCs w:val="26"/>
        </w:rPr>
        <w:t xml:space="preserve"> 2 978,3</w:t>
      </w:r>
      <w:r w:rsidR="00845643" w:rsidRPr="00B97FD6">
        <w:rPr>
          <w:sz w:val="26"/>
          <w:szCs w:val="26"/>
        </w:rPr>
        <w:t xml:space="preserve"> </w:t>
      </w:r>
      <w:r w:rsidR="00845643">
        <w:rPr>
          <w:sz w:val="26"/>
          <w:szCs w:val="26"/>
        </w:rPr>
        <w:t xml:space="preserve">тыс. рублей </w:t>
      </w:r>
      <w:r w:rsidR="00C6277B">
        <w:rPr>
          <w:sz w:val="26"/>
          <w:szCs w:val="26"/>
        </w:rPr>
        <w:t>,</w:t>
      </w:r>
      <w:r>
        <w:rPr>
          <w:sz w:val="26"/>
          <w:szCs w:val="26"/>
        </w:rPr>
        <w:t xml:space="preserve">за счет </w:t>
      </w:r>
      <w:r w:rsidR="00B97FD6">
        <w:rPr>
          <w:sz w:val="26"/>
          <w:szCs w:val="26"/>
        </w:rPr>
        <w:t>суб</w:t>
      </w:r>
      <w:r w:rsidR="00035D46">
        <w:rPr>
          <w:sz w:val="26"/>
          <w:szCs w:val="26"/>
        </w:rPr>
        <w:t>венции</w:t>
      </w:r>
      <w:r w:rsidR="00B97FD6" w:rsidRPr="00BB16B8">
        <w:rPr>
          <w:sz w:val="26"/>
          <w:szCs w:val="26"/>
        </w:rPr>
        <w:t xml:space="preserve"> </w:t>
      </w:r>
      <w:r w:rsidR="00C6277B">
        <w:rPr>
          <w:sz w:val="26"/>
          <w:szCs w:val="26"/>
        </w:rPr>
        <w:t>150,3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="0047446A" w:rsidRPr="00BB16B8">
        <w:rPr>
          <w:sz w:val="26"/>
          <w:szCs w:val="26"/>
        </w:rPr>
        <w:t xml:space="preserve">межбюджетных трансфертов </w:t>
      </w:r>
      <w:r w:rsidR="00C6277B">
        <w:rPr>
          <w:sz w:val="26"/>
          <w:szCs w:val="26"/>
        </w:rPr>
        <w:t>45 394,0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035D46">
        <w:rPr>
          <w:sz w:val="26"/>
          <w:szCs w:val="26"/>
        </w:rPr>
        <w:t xml:space="preserve"> и за счет прочих безвозмездных поступлении </w:t>
      </w:r>
      <w:r w:rsidR="00B635CF">
        <w:rPr>
          <w:sz w:val="26"/>
          <w:szCs w:val="26"/>
        </w:rPr>
        <w:t>уменьшить на</w:t>
      </w:r>
      <w:r w:rsidR="00C6277B">
        <w:rPr>
          <w:sz w:val="26"/>
          <w:szCs w:val="26"/>
        </w:rPr>
        <w:t xml:space="preserve"> 32 343,0</w:t>
      </w:r>
      <w:r w:rsidR="00035D46" w:rsidRPr="00035D46">
        <w:rPr>
          <w:sz w:val="26"/>
          <w:szCs w:val="26"/>
        </w:rPr>
        <w:t xml:space="preserve"> </w:t>
      </w:r>
      <w:r w:rsidR="00035D46">
        <w:rPr>
          <w:sz w:val="26"/>
          <w:szCs w:val="26"/>
        </w:rPr>
        <w:t>тыс. рублей.</w:t>
      </w:r>
      <w:r w:rsidR="008167AA" w:rsidRPr="008167AA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 xml:space="preserve">Также в доходную часть бюджета предлагается увеличить налоговые и неналоговые доходы на сумму </w:t>
      </w:r>
      <w:r w:rsidR="00845643">
        <w:rPr>
          <w:sz w:val="26"/>
          <w:szCs w:val="26"/>
        </w:rPr>
        <w:t>9 412,3</w:t>
      </w:r>
      <w:r w:rsidR="008167AA" w:rsidRPr="002B6480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>тыс.</w:t>
      </w:r>
      <w:r w:rsidR="008167AA" w:rsidRPr="009D52CC">
        <w:rPr>
          <w:sz w:val="26"/>
          <w:szCs w:val="26"/>
        </w:rPr>
        <w:t xml:space="preserve"> руб</w:t>
      </w:r>
      <w:r w:rsidR="008167AA">
        <w:rPr>
          <w:sz w:val="26"/>
          <w:szCs w:val="26"/>
        </w:rPr>
        <w:t>лей</w:t>
      </w:r>
      <w:r w:rsidR="008167AA" w:rsidRPr="009D52CC">
        <w:rPr>
          <w:sz w:val="26"/>
          <w:szCs w:val="26"/>
        </w:rPr>
        <w:t>.</w:t>
      </w:r>
    </w:p>
    <w:p w:rsidR="0047446A" w:rsidRDefault="0047446A" w:rsidP="00221F5C">
      <w:pPr>
        <w:ind w:firstLine="709"/>
        <w:jc w:val="both"/>
        <w:rPr>
          <w:sz w:val="26"/>
          <w:szCs w:val="26"/>
        </w:rPr>
      </w:pPr>
    </w:p>
    <w:p w:rsidR="009D52CC" w:rsidRDefault="009D52CC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9D52CC">
        <w:rPr>
          <w:sz w:val="26"/>
          <w:szCs w:val="26"/>
        </w:rPr>
        <w:t xml:space="preserve">           В доходную часть бюджета муниципального образования «Муниципальный округ Каракулинский район Удмуртской Республики» на 202</w:t>
      </w:r>
      <w:r w:rsidR="00A217A0">
        <w:rPr>
          <w:sz w:val="26"/>
          <w:szCs w:val="26"/>
        </w:rPr>
        <w:t>2</w:t>
      </w:r>
      <w:r w:rsidRPr="009D52CC">
        <w:rPr>
          <w:sz w:val="26"/>
          <w:szCs w:val="26"/>
        </w:rPr>
        <w:t xml:space="preserve"> год </w:t>
      </w:r>
      <w:r>
        <w:rPr>
          <w:sz w:val="26"/>
          <w:szCs w:val="26"/>
        </w:rPr>
        <w:t>предлагается у</w:t>
      </w:r>
      <w:r w:rsidR="00845643">
        <w:rPr>
          <w:sz w:val="26"/>
          <w:szCs w:val="26"/>
        </w:rPr>
        <w:t>величить</w:t>
      </w:r>
      <w:r w:rsidR="002B6480">
        <w:rPr>
          <w:sz w:val="26"/>
          <w:szCs w:val="26"/>
        </w:rPr>
        <w:t xml:space="preserve"> </w:t>
      </w:r>
      <w:r w:rsidR="00C6277B">
        <w:rPr>
          <w:sz w:val="26"/>
          <w:szCs w:val="26"/>
        </w:rPr>
        <w:t xml:space="preserve"> дотации, </w:t>
      </w:r>
      <w:r w:rsidR="008167AA">
        <w:rPr>
          <w:sz w:val="26"/>
          <w:szCs w:val="26"/>
        </w:rPr>
        <w:t>суб</w:t>
      </w:r>
      <w:r w:rsidR="00C6277B">
        <w:rPr>
          <w:sz w:val="26"/>
          <w:szCs w:val="26"/>
        </w:rPr>
        <w:t>венции и межбюджетные трансферты</w:t>
      </w:r>
      <w:r w:rsidRPr="009D52CC">
        <w:rPr>
          <w:sz w:val="26"/>
          <w:szCs w:val="26"/>
        </w:rPr>
        <w:t xml:space="preserve"> на общую сумму</w:t>
      </w:r>
      <w:r>
        <w:rPr>
          <w:sz w:val="26"/>
          <w:szCs w:val="26"/>
        </w:rPr>
        <w:t xml:space="preserve"> </w:t>
      </w:r>
      <w:r w:rsidR="00C6277B">
        <w:rPr>
          <w:sz w:val="26"/>
          <w:szCs w:val="26"/>
        </w:rPr>
        <w:t>11 355,1</w:t>
      </w:r>
      <w:r w:rsidR="00A217A0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C34F8D">
        <w:rPr>
          <w:sz w:val="26"/>
          <w:szCs w:val="26"/>
        </w:rPr>
        <w:t xml:space="preserve">, </w:t>
      </w:r>
      <w:r w:rsidR="00C34F8D">
        <w:rPr>
          <w:sz w:val="26"/>
          <w:szCs w:val="26"/>
        </w:rPr>
        <w:lastRenderedPageBreak/>
        <w:t>з</w:t>
      </w:r>
      <w:r w:rsidRPr="009D52CC">
        <w:rPr>
          <w:sz w:val="26"/>
          <w:szCs w:val="26"/>
        </w:rPr>
        <w:t>а счет у</w:t>
      </w:r>
      <w:r w:rsidR="00C6277B">
        <w:rPr>
          <w:sz w:val="26"/>
          <w:szCs w:val="26"/>
        </w:rPr>
        <w:t>величения</w:t>
      </w:r>
      <w:r w:rsidRPr="009D52CC">
        <w:rPr>
          <w:sz w:val="26"/>
          <w:szCs w:val="26"/>
        </w:rPr>
        <w:t xml:space="preserve"> безвозмездных поступлений от других бюджетов бюджетной системы РФ</w:t>
      </w:r>
      <w:r w:rsidR="002B6480">
        <w:rPr>
          <w:sz w:val="26"/>
          <w:szCs w:val="26"/>
        </w:rPr>
        <w:t xml:space="preserve">. </w:t>
      </w:r>
    </w:p>
    <w:p w:rsidR="000F2BD0" w:rsidRDefault="000F2BD0" w:rsidP="000F2BD0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B70DCC">
        <w:rPr>
          <w:sz w:val="26"/>
          <w:szCs w:val="26"/>
        </w:rPr>
        <w:t>В доходную часть бюджета муниципального образования «Муниципальный округ Каракулинский район Удмуртской Республики» на 2023 год внесены изменения на общую сумму</w:t>
      </w:r>
      <w:r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1 130 7</w:t>
      </w:r>
      <w:r>
        <w:rPr>
          <w:sz w:val="26"/>
          <w:szCs w:val="26"/>
        </w:rPr>
        <w:t>,0</w:t>
      </w:r>
      <w:r w:rsidRPr="00B70DCC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лей,</w:t>
      </w:r>
      <w:r w:rsidRPr="00B70DCC">
        <w:rPr>
          <w:sz w:val="26"/>
          <w:szCs w:val="26"/>
        </w:rPr>
        <w:t xml:space="preserve"> за счет увеличения безвозмездных поступлений</w:t>
      </w:r>
      <w:r>
        <w:rPr>
          <w:sz w:val="26"/>
          <w:szCs w:val="26"/>
        </w:rPr>
        <w:t xml:space="preserve">. </w:t>
      </w:r>
      <w:r w:rsidRPr="00B70DCC">
        <w:rPr>
          <w:sz w:val="26"/>
          <w:szCs w:val="26"/>
        </w:rPr>
        <w:t>В доходную часть бюджета муниципального образования «Муниципальный округ Каракулинский район Удмуртской Республики» на 2024 год внесены изменения на общую сумму  704</w:t>
      </w:r>
      <w:r w:rsidR="002433D0">
        <w:rPr>
          <w:sz w:val="26"/>
          <w:szCs w:val="26"/>
        </w:rPr>
        <w:t>,</w:t>
      </w:r>
      <w:r w:rsidRPr="00B70DCC">
        <w:rPr>
          <w:sz w:val="26"/>
          <w:szCs w:val="26"/>
        </w:rPr>
        <w:t xml:space="preserve"> 5</w:t>
      </w:r>
      <w:r w:rsidRPr="000F2BD0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лей,</w:t>
      </w:r>
      <w:r w:rsidRPr="00B70DCC">
        <w:rPr>
          <w:sz w:val="26"/>
          <w:szCs w:val="26"/>
        </w:rPr>
        <w:t xml:space="preserve"> за счет увеличения безвозмездных поступлений</w:t>
      </w:r>
      <w:r>
        <w:rPr>
          <w:sz w:val="26"/>
          <w:szCs w:val="26"/>
        </w:rPr>
        <w:t>.</w:t>
      </w:r>
      <w:r w:rsidRPr="00B70DCC">
        <w:rPr>
          <w:sz w:val="26"/>
          <w:szCs w:val="26"/>
        </w:rPr>
        <w:t xml:space="preserve">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на 2023 год  прогнозируются в следующих размерах: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- 435</w:t>
      </w:r>
      <w:r>
        <w:rPr>
          <w:rFonts w:eastAsia="Calibri"/>
          <w:sz w:val="26"/>
          <w:szCs w:val="26"/>
        </w:rPr>
        <w:t> </w:t>
      </w:r>
      <w:r w:rsidRPr="00B70DCC">
        <w:rPr>
          <w:rFonts w:eastAsia="Calibri"/>
          <w:sz w:val="26"/>
          <w:szCs w:val="26"/>
        </w:rPr>
        <w:t>796</w:t>
      </w:r>
      <w:r>
        <w:rPr>
          <w:rFonts w:eastAsia="Calibri"/>
          <w:sz w:val="26"/>
          <w:szCs w:val="26"/>
        </w:rPr>
        <w:t>,</w:t>
      </w:r>
      <w:r w:rsidRPr="00B70DCC">
        <w:rPr>
          <w:rFonts w:eastAsia="Calibri"/>
          <w:sz w:val="26"/>
          <w:szCs w:val="26"/>
        </w:rPr>
        <w:t xml:space="preserve"> 6</w:t>
      </w:r>
      <w:r w:rsidRPr="002433D0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лей.</w:t>
      </w:r>
      <w:r w:rsidRPr="00B70DCC">
        <w:rPr>
          <w:rFonts w:eastAsia="Calibri"/>
          <w:sz w:val="26"/>
          <w:szCs w:val="26"/>
        </w:rPr>
        <w:t xml:space="preserve">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на 2024 год  прогнозируются в следующих размерах: </w:t>
      </w:r>
    </w:p>
    <w:p w:rsidR="002433D0" w:rsidRPr="00B70DCC" w:rsidRDefault="002433D0" w:rsidP="002433D0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- 444</w:t>
      </w:r>
      <w:r>
        <w:rPr>
          <w:rFonts w:eastAsia="Calibri"/>
          <w:sz w:val="26"/>
          <w:szCs w:val="26"/>
        </w:rPr>
        <w:t> </w:t>
      </w:r>
      <w:r w:rsidRPr="00B70DCC">
        <w:rPr>
          <w:rFonts w:eastAsia="Calibri"/>
          <w:sz w:val="26"/>
          <w:szCs w:val="26"/>
        </w:rPr>
        <w:t>708</w:t>
      </w:r>
      <w:r>
        <w:rPr>
          <w:rFonts w:eastAsia="Calibri"/>
          <w:sz w:val="26"/>
          <w:szCs w:val="26"/>
        </w:rPr>
        <w:t>,</w:t>
      </w:r>
      <w:r w:rsidRPr="00B70DCC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тыс.рублей.</w:t>
      </w:r>
      <w:r w:rsidRPr="00B70DCC">
        <w:rPr>
          <w:rFonts w:eastAsia="Calibri"/>
          <w:sz w:val="26"/>
          <w:szCs w:val="26"/>
        </w:rPr>
        <w:t xml:space="preserve"> </w:t>
      </w:r>
    </w:p>
    <w:p w:rsidR="002433D0" w:rsidRPr="00B70DCC" w:rsidRDefault="002433D0" w:rsidP="000F2BD0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8167AA" w:rsidRDefault="008167AA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0F2BD0" w:rsidRPr="009D52CC" w:rsidRDefault="000F2BD0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15F71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Каракулинский район</w:t>
      </w:r>
      <w:r w:rsidR="00815F71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 на 202</w:t>
      </w:r>
      <w:r w:rsidR="00815F7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2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776E4C" w:rsidP="00C627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C6277B">
              <w:rPr>
                <w:b/>
                <w:i/>
                <w:sz w:val="22"/>
                <w:szCs w:val="22"/>
              </w:rPr>
              <w:t>9412,3</w:t>
            </w:r>
          </w:p>
        </w:tc>
      </w:tr>
      <w:tr w:rsidR="00E9391F" w:rsidRPr="001B7E80" w:rsidTr="00E9391F">
        <w:trPr>
          <w:trHeight w:val="267"/>
        </w:trPr>
        <w:tc>
          <w:tcPr>
            <w:tcW w:w="9006" w:type="dxa"/>
          </w:tcPr>
          <w:p w:rsidR="00E9391F" w:rsidRPr="00CF4329" w:rsidRDefault="00E9391F" w:rsidP="00E9391F">
            <w:pPr>
              <w:jc w:val="both"/>
              <w:rPr>
                <w:b/>
                <w:bCs/>
                <w:i/>
              </w:rPr>
            </w:pPr>
            <w:r w:rsidRPr="00CF4329">
              <w:rPr>
                <w:b/>
                <w:bCs/>
                <w:i/>
              </w:rPr>
              <w:t>НАЛОГИ НА ПРИБЫЛЬ, ДОХОДЫ</w:t>
            </w:r>
          </w:p>
          <w:p w:rsidR="00E9391F" w:rsidRDefault="00E9391F" w:rsidP="00A13B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</w:tcPr>
          <w:p w:rsidR="00E9391F" w:rsidRDefault="00E9391F" w:rsidP="00C627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+3252,0</w:t>
            </w:r>
          </w:p>
        </w:tc>
      </w:tr>
      <w:tr w:rsidR="00776E4C" w:rsidRPr="00E9391F" w:rsidTr="00D96101">
        <w:tc>
          <w:tcPr>
            <w:tcW w:w="9006" w:type="dxa"/>
          </w:tcPr>
          <w:p w:rsidR="00776E4C" w:rsidRPr="00AA1E76" w:rsidRDefault="001F66B7" w:rsidP="00A13BA5">
            <w:pPr>
              <w:jc w:val="both"/>
              <w:rPr>
                <w:sz w:val="22"/>
                <w:szCs w:val="22"/>
              </w:rPr>
            </w:pPr>
            <w:r w:rsidRPr="001F66B7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1F66B7"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67" w:type="dxa"/>
          </w:tcPr>
          <w:p w:rsidR="00776E4C" w:rsidRPr="00E9391F" w:rsidRDefault="00776E4C" w:rsidP="001F66B7">
            <w:pPr>
              <w:jc w:val="both"/>
              <w:rPr>
                <w:i/>
                <w:sz w:val="22"/>
                <w:szCs w:val="22"/>
              </w:rPr>
            </w:pPr>
            <w:r w:rsidRPr="00E9391F">
              <w:rPr>
                <w:i/>
                <w:sz w:val="22"/>
                <w:szCs w:val="22"/>
              </w:rPr>
              <w:t>+</w:t>
            </w:r>
            <w:r w:rsidR="001F66B7" w:rsidRPr="00E9391F">
              <w:rPr>
                <w:i/>
                <w:sz w:val="22"/>
                <w:szCs w:val="22"/>
              </w:rPr>
              <w:t>3252,0</w:t>
            </w:r>
          </w:p>
        </w:tc>
      </w:tr>
      <w:tr w:rsidR="00E9391F" w:rsidRPr="00BB16B8" w:rsidTr="00D96101">
        <w:tc>
          <w:tcPr>
            <w:tcW w:w="9006" w:type="dxa"/>
          </w:tcPr>
          <w:p w:rsidR="00E9391F" w:rsidRPr="00CF4329" w:rsidRDefault="00E9391F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7" w:type="dxa"/>
          </w:tcPr>
          <w:p w:rsidR="00E9391F" w:rsidRPr="00E9391F" w:rsidRDefault="00E9391F" w:rsidP="001F66B7">
            <w:pPr>
              <w:jc w:val="both"/>
              <w:rPr>
                <w:b/>
                <w:i/>
                <w:sz w:val="22"/>
                <w:szCs w:val="22"/>
              </w:rPr>
            </w:pPr>
            <w:r w:rsidRPr="00E9391F">
              <w:rPr>
                <w:b/>
                <w:i/>
                <w:sz w:val="22"/>
                <w:szCs w:val="22"/>
              </w:rPr>
              <w:t>+491,0</w:t>
            </w:r>
          </w:p>
        </w:tc>
      </w:tr>
      <w:tr w:rsidR="001F66B7" w:rsidRPr="00BB16B8" w:rsidTr="00D96101">
        <w:tc>
          <w:tcPr>
            <w:tcW w:w="9006" w:type="dxa"/>
          </w:tcPr>
          <w:p w:rsidR="001F66B7" w:rsidRPr="001F66B7" w:rsidRDefault="00E9391F" w:rsidP="00E9391F">
            <w:pPr>
              <w:rPr>
                <w:sz w:val="22"/>
                <w:szCs w:val="22"/>
              </w:rPr>
            </w:pPr>
            <w:r w:rsidRPr="00E9391F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167" w:type="dxa"/>
          </w:tcPr>
          <w:p w:rsidR="001F66B7" w:rsidRPr="00E9391F" w:rsidRDefault="00E9391F" w:rsidP="00E9391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+475,0</w:t>
            </w:r>
          </w:p>
        </w:tc>
      </w:tr>
      <w:tr w:rsidR="001F66B7" w:rsidRPr="00BB16B8" w:rsidTr="00D96101">
        <w:tc>
          <w:tcPr>
            <w:tcW w:w="9006" w:type="dxa"/>
          </w:tcPr>
          <w:p w:rsidR="001F66B7" w:rsidRPr="001F66B7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Налог,</w:t>
            </w:r>
            <w:r>
              <w:rPr>
                <w:sz w:val="22"/>
                <w:szCs w:val="22"/>
              </w:rPr>
              <w:t xml:space="preserve"> </w:t>
            </w:r>
            <w:r w:rsidRPr="00CF4329">
              <w:rPr>
                <w:sz w:val="22"/>
                <w:szCs w:val="22"/>
              </w:rPr>
              <w:t>взимаемый в связи с применением патентной системы налогообложения, зачисляемые в бюджеты муниципальных округов</w:t>
            </w:r>
          </w:p>
        </w:tc>
        <w:tc>
          <w:tcPr>
            <w:tcW w:w="1167" w:type="dxa"/>
          </w:tcPr>
          <w:p w:rsidR="001F66B7" w:rsidRPr="001F66B7" w:rsidRDefault="00CF4329" w:rsidP="00CF4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+16,0</w:t>
            </w:r>
          </w:p>
        </w:tc>
      </w:tr>
      <w:tr w:rsidR="001F66B7" w:rsidRPr="00BB16B8" w:rsidTr="00D96101">
        <w:tc>
          <w:tcPr>
            <w:tcW w:w="9006" w:type="dxa"/>
          </w:tcPr>
          <w:p w:rsidR="001F66B7" w:rsidRPr="00CF4329" w:rsidRDefault="00E9391F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</w:tcPr>
          <w:p w:rsidR="001F66B7" w:rsidRPr="00CF4329" w:rsidRDefault="00CF4329">
            <w:pPr>
              <w:jc w:val="right"/>
              <w:rPr>
                <w:b/>
                <w:sz w:val="22"/>
                <w:szCs w:val="22"/>
              </w:rPr>
            </w:pPr>
            <w:r w:rsidRPr="00CF4329">
              <w:rPr>
                <w:b/>
                <w:sz w:val="22"/>
                <w:szCs w:val="22"/>
              </w:rPr>
              <w:t>+4500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E9391F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67" w:type="dxa"/>
          </w:tcPr>
          <w:p w:rsidR="00CF4329" w:rsidRPr="00CF4329" w:rsidRDefault="00CF4329">
            <w:pPr>
              <w:jc w:val="right"/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-535,0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67" w:type="dxa"/>
          </w:tcPr>
          <w:p w:rsidR="00CF4329" w:rsidRPr="00CF4329" w:rsidRDefault="00CF4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+4603,0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167" w:type="dxa"/>
          </w:tcPr>
          <w:p w:rsidR="00CF4329" w:rsidRDefault="00CF4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+432,0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7" w:type="dxa"/>
          </w:tcPr>
          <w:p w:rsidR="00CF4329" w:rsidRPr="00CF4329" w:rsidRDefault="00CF43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CF4329">
              <w:rPr>
                <w:b/>
                <w:sz w:val="22"/>
                <w:szCs w:val="22"/>
              </w:rPr>
              <w:t>108,0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7" w:type="dxa"/>
          </w:tcPr>
          <w:p w:rsidR="00CF4329" w:rsidRPr="00CF4329" w:rsidRDefault="00CF43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+108,0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b/>
                <w:i/>
                <w:sz w:val="22"/>
                <w:szCs w:val="22"/>
              </w:rPr>
            </w:pPr>
            <w:r w:rsidRPr="00CF4329">
              <w:rPr>
                <w:b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</w:tcPr>
          <w:p w:rsidR="00CF4329" w:rsidRDefault="00CF43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+1492,3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>Доходы,</w:t>
            </w:r>
            <w:r>
              <w:rPr>
                <w:sz w:val="22"/>
                <w:szCs w:val="22"/>
              </w:rPr>
              <w:t xml:space="preserve"> </w:t>
            </w:r>
            <w:r w:rsidRPr="00CF4329">
              <w:rPr>
                <w:sz w:val="22"/>
                <w:szCs w:val="22"/>
              </w:rPr>
              <w:t>получаемые в виде арендной платы за земельные участки,</w:t>
            </w:r>
            <w:r>
              <w:rPr>
                <w:sz w:val="22"/>
                <w:szCs w:val="22"/>
              </w:rPr>
              <w:t xml:space="preserve"> </w:t>
            </w:r>
            <w:r w:rsidRPr="00CF4329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7" w:type="dxa"/>
          </w:tcPr>
          <w:p w:rsidR="00CF4329" w:rsidRPr="00CF4329" w:rsidRDefault="00CF4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CF4329">
              <w:rPr>
                <w:sz w:val="22"/>
                <w:szCs w:val="22"/>
              </w:rPr>
              <w:t>1342,3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CF4329" w:rsidRDefault="00CF4329">
            <w:pPr>
              <w:rPr>
                <w:sz w:val="22"/>
                <w:szCs w:val="22"/>
              </w:rPr>
            </w:pPr>
            <w:r w:rsidRPr="00CF4329">
              <w:rPr>
                <w:sz w:val="22"/>
                <w:szCs w:val="22"/>
              </w:rPr>
              <w:t xml:space="preserve">Доходы от сдачу в аренду имущества, находящегося в оперативном управлении органов  управления муниципальных округов и созданных ими учреждений (за исключением </w:t>
            </w:r>
            <w:r w:rsidRPr="00CF4329">
              <w:rPr>
                <w:sz w:val="22"/>
                <w:szCs w:val="22"/>
              </w:rPr>
              <w:lastRenderedPageBreak/>
              <w:t>имущества муниципальных бюджетных и  автономных учреждений)</w:t>
            </w:r>
          </w:p>
        </w:tc>
        <w:tc>
          <w:tcPr>
            <w:tcW w:w="1167" w:type="dxa"/>
          </w:tcPr>
          <w:p w:rsidR="00CF4329" w:rsidRDefault="00CF4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</w:tc>
      </w:tr>
      <w:tr w:rsidR="00CF4329" w:rsidRPr="00CF4329" w:rsidTr="00D96101">
        <w:tc>
          <w:tcPr>
            <w:tcW w:w="9006" w:type="dxa"/>
          </w:tcPr>
          <w:p w:rsidR="00CF4329" w:rsidRPr="00ED15BC" w:rsidRDefault="00CF4329">
            <w:pPr>
              <w:rPr>
                <w:b/>
                <w:i/>
                <w:sz w:val="22"/>
                <w:szCs w:val="22"/>
              </w:rPr>
            </w:pPr>
            <w:r w:rsidRPr="00ED15BC">
              <w:rPr>
                <w:b/>
                <w:i/>
                <w:sz w:val="22"/>
                <w:szCs w:val="22"/>
              </w:rPr>
              <w:lastRenderedPageBreak/>
              <w:t>ШТРАФЫ,САНКЦИИ,ВОЗМЕЩЕНИЕ УЩЕРБА</w:t>
            </w:r>
          </w:p>
        </w:tc>
        <w:tc>
          <w:tcPr>
            <w:tcW w:w="1167" w:type="dxa"/>
          </w:tcPr>
          <w:p w:rsidR="00CF4329" w:rsidRPr="00ED15BC" w:rsidRDefault="00ED15BC">
            <w:pPr>
              <w:jc w:val="right"/>
              <w:rPr>
                <w:b/>
                <w:sz w:val="22"/>
                <w:szCs w:val="22"/>
              </w:rPr>
            </w:pPr>
            <w:r w:rsidRPr="00ED15BC">
              <w:rPr>
                <w:b/>
                <w:sz w:val="22"/>
                <w:szCs w:val="22"/>
              </w:rPr>
              <w:t>-431,0</w:t>
            </w:r>
          </w:p>
        </w:tc>
      </w:tr>
      <w:tr w:rsidR="00ED15BC" w:rsidRPr="00ED15BC" w:rsidTr="00D96101">
        <w:tc>
          <w:tcPr>
            <w:tcW w:w="9006" w:type="dxa"/>
          </w:tcPr>
          <w:p w:rsidR="00ED15BC" w:rsidRPr="00ED15BC" w:rsidRDefault="00ED15BC">
            <w:pPr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</w:t>
            </w:r>
            <w:r>
              <w:rPr>
                <w:sz w:val="22"/>
                <w:szCs w:val="22"/>
              </w:rPr>
              <w:t xml:space="preserve"> </w:t>
            </w:r>
            <w:r w:rsidRPr="00ED15BC">
              <w:rPr>
                <w:sz w:val="22"/>
                <w:szCs w:val="22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ED15BC" w:rsidRDefault="00ED15BC" w:rsidP="00ED15BC">
            <w:pPr>
              <w:jc w:val="right"/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ED15BC">
            <w:pPr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</w:t>
            </w:r>
            <w:r w:rsidR="00397660">
              <w:rPr>
                <w:sz w:val="22"/>
                <w:szCs w:val="22"/>
              </w:rPr>
              <w:t xml:space="preserve"> </w:t>
            </w:r>
            <w:r w:rsidRPr="00ED15BC">
              <w:rPr>
                <w:sz w:val="22"/>
                <w:szCs w:val="22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ED15BC" w:rsidRDefault="00ED15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ED15BC">
              <w:rPr>
                <w:sz w:val="22"/>
                <w:szCs w:val="22"/>
              </w:rPr>
              <w:t>48,0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ED15BC">
            <w:pPr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67" w:type="dxa"/>
          </w:tcPr>
          <w:p w:rsidR="00ED15BC" w:rsidRPr="00ED15BC" w:rsidRDefault="00ED15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ED15BC">
              <w:rPr>
                <w:sz w:val="22"/>
                <w:szCs w:val="22"/>
              </w:rPr>
              <w:t>5,0</w:t>
            </w:r>
          </w:p>
        </w:tc>
      </w:tr>
      <w:tr w:rsidR="00ED15BC" w:rsidRPr="00CF4329" w:rsidTr="00D96101">
        <w:tc>
          <w:tcPr>
            <w:tcW w:w="9006" w:type="dxa"/>
          </w:tcPr>
          <w:p w:rsidR="00ED15BC" w:rsidRPr="00ED15BC" w:rsidRDefault="00ED15BC" w:rsidP="00ED15BC">
            <w:pPr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2"/>
                <w:szCs w:val="22"/>
              </w:rPr>
              <w:t xml:space="preserve"> </w:t>
            </w:r>
            <w:r w:rsidRPr="00ED15BC">
              <w:rPr>
                <w:sz w:val="22"/>
                <w:szCs w:val="22"/>
              </w:rPr>
              <w:t>образовавшейся до 1 январ</w:t>
            </w:r>
            <w:r>
              <w:rPr>
                <w:sz w:val="22"/>
                <w:szCs w:val="22"/>
              </w:rPr>
              <w:t>я</w:t>
            </w:r>
            <w:r w:rsidRPr="00ED15BC">
              <w:rPr>
                <w:sz w:val="22"/>
                <w:szCs w:val="22"/>
              </w:rPr>
              <w:t xml:space="preserve"> 2020 года,</w:t>
            </w:r>
            <w:r>
              <w:rPr>
                <w:sz w:val="22"/>
                <w:szCs w:val="22"/>
              </w:rPr>
              <w:t xml:space="preserve"> </w:t>
            </w:r>
            <w:r w:rsidRPr="00ED15BC">
              <w:rPr>
                <w:sz w:val="22"/>
                <w:szCs w:val="22"/>
              </w:rPr>
              <w:t>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167" w:type="dxa"/>
          </w:tcPr>
          <w:p w:rsidR="00ED15BC" w:rsidRDefault="00ED15B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ED15BC">
              <w:rPr>
                <w:sz w:val="22"/>
                <w:szCs w:val="22"/>
              </w:rPr>
              <w:t>66,0</w:t>
            </w:r>
          </w:p>
        </w:tc>
      </w:tr>
      <w:tr w:rsidR="00ED15BC" w:rsidRPr="00ED15BC" w:rsidTr="00D96101">
        <w:tc>
          <w:tcPr>
            <w:tcW w:w="9006" w:type="dxa"/>
          </w:tcPr>
          <w:p w:rsidR="00ED15BC" w:rsidRPr="00ED15BC" w:rsidRDefault="00ED15BC" w:rsidP="00ED15BC">
            <w:pPr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67" w:type="dxa"/>
          </w:tcPr>
          <w:p w:rsidR="00ED15BC" w:rsidRPr="00ED15BC" w:rsidRDefault="00ED15BC">
            <w:pPr>
              <w:jc w:val="right"/>
              <w:rPr>
                <w:sz w:val="22"/>
                <w:szCs w:val="22"/>
              </w:rPr>
            </w:pPr>
            <w:r w:rsidRPr="00ED15BC">
              <w:rPr>
                <w:sz w:val="22"/>
                <w:szCs w:val="22"/>
              </w:rPr>
              <w:t>-302,0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1B7E80" w:rsidRDefault="00776E4C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776E4C" w:rsidRPr="001B7E80" w:rsidRDefault="00776E4C" w:rsidP="00ED15B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ED15BC">
              <w:rPr>
                <w:b/>
                <w:i/>
                <w:sz w:val="22"/>
                <w:szCs w:val="22"/>
              </w:rPr>
              <w:t>11355,1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2445A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776E4C" w:rsidRPr="00B2445A" w:rsidRDefault="00776E4C" w:rsidP="00ED15BC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+</w:t>
            </w:r>
            <w:r w:rsidR="00ED15BC">
              <w:rPr>
                <w:b/>
                <w:sz w:val="22"/>
                <w:szCs w:val="22"/>
              </w:rPr>
              <w:t>1112,1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B2B42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B2B42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7" w:type="dxa"/>
          </w:tcPr>
          <w:p w:rsidR="00776E4C" w:rsidRPr="00BB2B42" w:rsidRDefault="00776E4C" w:rsidP="00B635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635CF">
              <w:rPr>
                <w:b/>
                <w:sz w:val="22"/>
                <w:szCs w:val="22"/>
              </w:rPr>
              <w:t>2978,3</w:t>
            </w:r>
          </w:p>
        </w:tc>
      </w:tr>
      <w:tr w:rsidR="00776E4C" w:rsidRPr="002D219B" w:rsidTr="00D96101">
        <w:tc>
          <w:tcPr>
            <w:tcW w:w="9006" w:type="dxa"/>
          </w:tcPr>
          <w:p w:rsidR="00B635CF" w:rsidRPr="00B635CF" w:rsidRDefault="00B635CF" w:rsidP="00B635CF">
            <w:pPr>
              <w:jc w:val="both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776E4C" w:rsidRPr="002D219B" w:rsidRDefault="00776E4C" w:rsidP="00E46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Default="00776E4C" w:rsidP="00B63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5CF">
              <w:rPr>
                <w:sz w:val="22"/>
                <w:szCs w:val="22"/>
              </w:rPr>
              <w:t>2910,6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B635CF" w:rsidP="00FE7869">
            <w:pPr>
              <w:jc w:val="both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7" w:type="dxa"/>
          </w:tcPr>
          <w:p w:rsidR="00776E4C" w:rsidRDefault="00776E4C" w:rsidP="00B63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5CF">
              <w:rPr>
                <w:sz w:val="22"/>
                <w:szCs w:val="22"/>
              </w:rPr>
              <w:t>90,0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B635CF" w:rsidP="00FE7869">
            <w:pPr>
              <w:jc w:val="both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167" w:type="dxa"/>
          </w:tcPr>
          <w:p w:rsidR="00776E4C" w:rsidRDefault="00B635CF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-0,05</w:t>
            </w:r>
          </w:p>
        </w:tc>
      </w:tr>
      <w:tr w:rsidR="00B635CF" w:rsidRPr="002D219B" w:rsidTr="00D96101">
        <w:tc>
          <w:tcPr>
            <w:tcW w:w="9006" w:type="dxa"/>
          </w:tcPr>
          <w:p w:rsidR="00B635CF" w:rsidRPr="00B635CF" w:rsidRDefault="00E96FBD" w:rsidP="00FE7869">
            <w:pPr>
              <w:jc w:val="both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Субсидии на расходы по присмотру и уходу за детьми инвалидами, детьми- сиротами 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E96FBD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E96FBD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E96FBD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67" w:type="dxa"/>
          </w:tcPr>
          <w:p w:rsidR="00B635CF" w:rsidRDefault="00E96FBD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+5,0</w:t>
            </w:r>
          </w:p>
        </w:tc>
      </w:tr>
      <w:tr w:rsidR="00E96FBD" w:rsidRPr="002D219B" w:rsidTr="00D96101">
        <w:tc>
          <w:tcPr>
            <w:tcW w:w="9006" w:type="dxa"/>
          </w:tcPr>
          <w:p w:rsidR="00E96FBD" w:rsidRPr="00E96FBD" w:rsidRDefault="00E96FBD" w:rsidP="00FE7869">
            <w:pPr>
              <w:jc w:val="both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Субсидии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67" w:type="dxa"/>
          </w:tcPr>
          <w:p w:rsidR="00E96FBD" w:rsidRDefault="00E96FBD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+17,4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E448CE" w:rsidRDefault="00776E4C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7" w:type="dxa"/>
          </w:tcPr>
          <w:p w:rsidR="00776E4C" w:rsidRPr="00E448CE" w:rsidRDefault="00F40A06" w:rsidP="00E96F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96FBD">
              <w:rPr>
                <w:b/>
                <w:sz w:val="22"/>
                <w:szCs w:val="22"/>
              </w:rPr>
              <w:t>170,3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A17CD3" w:rsidRDefault="00E96FBD" w:rsidP="0079509E">
            <w:pPr>
              <w:jc w:val="both"/>
              <w:rPr>
                <w:b/>
                <w:sz w:val="22"/>
                <w:szCs w:val="22"/>
              </w:rPr>
            </w:pPr>
            <w:r w:rsidRPr="00A17CD3">
              <w:rPr>
                <w:b/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67" w:type="dxa"/>
          </w:tcPr>
          <w:p w:rsidR="00776E4C" w:rsidRPr="00A17CD3" w:rsidRDefault="00DA2D47" w:rsidP="00E96FBD">
            <w:pPr>
              <w:jc w:val="both"/>
              <w:rPr>
                <w:b/>
                <w:sz w:val="22"/>
                <w:szCs w:val="22"/>
              </w:rPr>
            </w:pPr>
            <w:r w:rsidRPr="00A17CD3">
              <w:rPr>
                <w:b/>
                <w:sz w:val="22"/>
                <w:szCs w:val="22"/>
              </w:rPr>
              <w:t>+</w:t>
            </w:r>
            <w:r w:rsidR="00E96FBD" w:rsidRPr="00A17CD3">
              <w:rPr>
                <w:b/>
                <w:sz w:val="22"/>
                <w:szCs w:val="22"/>
              </w:rPr>
              <w:t>57,3</w:t>
            </w:r>
          </w:p>
        </w:tc>
      </w:tr>
      <w:tr w:rsidR="00DA2D47" w:rsidRPr="001B7E80" w:rsidTr="00D96101">
        <w:tc>
          <w:tcPr>
            <w:tcW w:w="9006" w:type="dxa"/>
          </w:tcPr>
          <w:p w:rsidR="00DA2D47" w:rsidRPr="00DA2D47" w:rsidRDefault="00E96FBD" w:rsidP="00E96FBD">
            <w:pPr>
              <w:jc w:val="both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67" w:type="dxa"/>
          </w:tcPr>
          <w:p w:rsidR="00DA2D47" w:rsidRDefault="00DA2D47" w:rsidP="00E96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96FBD">
              <w:rPr>
                <w:sz w:val="22"/>
                <w:szCs w:val="22"/>
              </w:rPr>
              <w:t>36,7</w:t>
            </w:r>
          </w:p>
        </w:tc>
      </w:tr>
      <w:tr w:rsidR="00E96FBD" w:rsidRPr="001B7E80" w:rsidTr="00D96101">
        <w:tc>
          <w:tcPr>
            <w:tcW w:w="9006" w:type="dxa"/>
          </w:tcPr>
          <w:p w:rsidR="00E96FBD" w:rsidRPr="00E96FBD" w:rsidRDefault="00E96FBD" w:rsidP="00E96FBD">
            <w:pPr>
              <w:jc w:val="both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 "О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</w:t>
            </w:r>
            <w:r>
              <w:rPr>
                <w:sz w:val="22"/>
                <w:szCs w:val="22"/>
              </w:rPr>
              <w:t>е</w:t>
            </w:r>
            <w:r w:rsidRPr="00E96FBD">
              <w:rPr>
                <w:sz w:val="22"/>
                <w:szCs w:val="22"/>
              </w:rPr>
              <w:t>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67" w:type="dxa"/>
          </w:tcPr>
          <w:p w:rsidR="00E96FBD" w:rsidRDefault="00E96FBD" w:rsidP="00E96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</w:tr>
      <w:tr w:rsidR="00A17CD3" w:rsidRPr="001B7E80" w:rsidTr="00D96101">
        <w:tc>
          <w:tcPr>
            <w:tcW w:w="9006" w:type="dxa"/>
          </w:tcPr>
          <w:p w:rsidR="00A17CD3" w:rsidRPr="00E96FBD" w:rsidRDefault="00A17CD3" w:rsidP="003C75C0">
            <w:pPr>
              <w:jc w:val="both"/>
              <w:rPr>
                <w:sz w:val="22"/>
                <w:szCs w:val="22"/>
              </w:rPr>
            </w:pPr>
            <w:r w:rsidRPr="00A17CD3">
              <w:rPr>
                <w:sz w:val="22"/>
                <w:szCs w:val="22"/>
              </w:rPr>
              <w:lastRenderedPageBreak/>
              <w:t>Субвенции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67" w:type="dxa"/>
          </w:tcPr>
          <w:p w:rsidR="00A17CD3" w:rsidRDefault="00A17CD3" w:rsidP="00E96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+10,6</w:t>
            </w:r>
          </w:p>
        </w:tc>
      </w:tr>
      <w:tr w:rsidR="00A17CD3" w:rsidRPr="001B7E80" w:rsidTr="00D96101">
        <w:tc>
          <w:tcPr>
            <w:tcW w:w="9006" w:type="dxa"/>
          </w:tcPr>
          <w:p w:rsidR="00A17CD3" w:rsidRPr="00A17CD3" w:rsidRDefault="00A17CD3" w:rsidP="00E96FBD">
            <w:pPr>
              <w:jc w:val="both"/>
              <w:rPr>
                <w:sz w:val="22"/>
                <w:szCs w:val="22"/>
              </w:rPr>
            </w:pPr>
            <w:r w:rsidRPr="00A17CD3">
              <w:rPr>
                <w:sz w:val="22"/>
                <w:szCs w:val="22"/>
              </w:rPr>
              <w:t>Субвенции  бюджетам муниципальных округов на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7" w:type="dxa"/>
          </w:tcPr>
          <w:p w:rsidR="00A17CD3" w:rsidRPr="00A17CD3" w:rsidRDefault="00A17CD3" w:rsidP="00E96FBD">
            <w:pPr>
              <w:jc w:val="both"/>
              <w:rPr>
                <w:b/>
                <w:sz w:val="22"/>
                <w:szCs w:val="22"/>
              </w:rPr>
            </w:pPr>
            <w:r w:rsidRPr="00A17CD3">
              <w:rPr>
                <w:b/>
                <w:sz w:val="22"/>
                <w:szCs w:val="22"/>
              </w:rPr>
              <w:t>+113,0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5D1B8C" w:rsidRDefault="00776E4C" w:rsidP="00EE3FC9">
            <w:pPr>
              <w:rPr>
                <w:b/>
                <w:bCs/>
              </w:rPr>
            </w:pPr>
            <w:r w:rsidRPr="005D1B8C">
              <w:rPr>
                <w:b/>
                <w:bCs/>
              </w:rPr>
              <w:t>Иные межбюджетные трансферты</w:t>
            </w:r>
          </w:p>
          <w:p w:rsidR="00776E4C" w:rsidRPr="00794C48" w:rsidRDefault="00776E4C" w:rsidP="005A117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Pr="00BB2B42" w:rsidRDefault="00776E4C" w:rsidP="003C75C0">
            <w:pPr>
              <w:rPr>
                <w:b/>
              </w:rPr>
            </w:pPr>
            <w:r w:rsidRPr="00BB2B42">
              <w:rPr>
                <w:b/>
              </w:rPr>
              <w:t>+</w:t>
            </w:r>
            <w:r w:rsidR="003C75C0">
              <w:rPr>
                <w:b/>
              </w:rPr>
              <w:t>45394,0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3C75C0" w:rsidRDefault="003C75C0" w:rsidP="00EE3FC9">
            <w:pPr>
              <w:rPr>
                <w:bCs/>
              </w:rPr>
            </w:pPr>
            <w:r w:rsidRPr="003C75C0">
              <w:rPr>
                <w:bCs/>
              </w:rPr>
              <w:t>Межбюджетные трансферты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7" w:type="dxa"/>
          </w:tcPr>
          <w:p w:rsidR="003C75C0" w:rsidRPr="00BB2B42" w:rsidRDefault="003C75C0" w:rsidP="003C75C0">
            <w:pPr>
              <w:rPr>
                <w:b/>
              </w:rPr>
            </w:pPr>
            <w:r>
              <w:rPr>
                <w:b/>
              </w:rPr>
              <w:t>-</w:t>
            </w:r>
            <w:r w:rsidRPr="003C75C0">
              <w:t>2564,1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BB2B42" w:rsidRDefault="003C75C0" w:rsidP="00EE3FC9">
            <w:pPr>
              <w:rPr>
                <w:bCs/>
              </w:rPr>
            </w:pPr>
            <w:r w:rsidRPr="003C75C0">
              <w:rPr>
                <w:bCs/>
              </w:rPr>
              <w:t>Межбюджетные трансферты, передаваемые бюджетам муниципальных округов на предоставление грантов по итогам оценки эффективности деятельности</w:t>
            </w:r>
          </w:p>
        </w:tc>
        <w:tc>
          <w:tcPr>
            <w:tcW w:w="1167" w:type="dxa"/>
          </w:tcPr>
          <w:p w:rsidR="00776E4C" w:rsidRPr="000156EE" w:rsidRDefault="003C75C0" w:rsidP="00DA2D47">
            <w:r>
              <w:t>-1790,8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3C75C0" w:rsidP="00EE3FC9">
            <w:pPr>
              <w:rPr>
                <w:bCs/>
              </w:rPr>
            </w:pPr>
            <w:r w:rsidRPr="003C75C0">
              <w:rPr>
                <w:bCs/>
              </w:rPr>
              <w:t xml:space="preserve">Межбюджетные трансферты, передаваемые бюджетам муниципальных округов на мероприятия по безопасности образовательных организаций в Удмуртской Республике  </w:t>
            </w:r>
          </w:p>
        </w:tc>
        <w:tc>
          <w:tcPr>
            <w:tcW w:w="1167" w:type="dxa"/>
          </w:tcPr>
          <w:p w:rsidR="003C75C0" w:rsidRPr="000156EE" w:rsidRDefault="003C75C0" w:rsidP="00DA2D47">
            <w:r>
              <w:t>+6410,2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3C75C0" w:rsidP="00EE3FC9">
            <w:pPr>
              <w:rPr>
                <w:bCs/>
              </w:rPr>
            </w:pPr>
            <w:r w:rsidRPr="003C75C0">
              <w:rPr>
                <w:bCs/>
              </w:rPr>
              <w:t>Межбюджетные трансферты, передаваемые бюджетам муниципальных округов на создание и обеспечение функционирования центров образования цифрового,</w:t>
            </w:r>
            <w:r w:rsidR="00156535">
              <w:rPr>
                <w:bCs/>
              </w:rPr>
              <w:t xml:space="preserve"> </w:t>
            </w:r>
            <w:r w:rsidRPr="003C75C0">
              <w:rPr>
                <w:bCs/>
              </w:rPr>
              <w:t xml:space="preserve">гуманитарного </w:t>
            </w:r>
            <w:r w:rsidR="00156535" w:rsidRPr="003C75C0">
              <w:rPr>
                <w:bCs/>
              </w:rPr>
              <w:t>профилей</w:t>
            </w:r>
            <w:r w:rsidRPr="003C75C0">
              <w:rPr>
                <w:bCs/>
              </w:rPr>
              <w:t xml:space="preserve"> "Точка роста" в  общеобразовательных организациях  </w:t>
            </w:r>
          </w:p>
        </w:tc>
        <w:tc>
          <w:tcPr>
            <w:tcW w:w="1167" w:type="dxa"/>
          </w:tcPr>
          <w:p w:rsidR="003C75C0" w:rsidRPr="000156EE" w:rsidRDefault="00156535" w:rsidP="00DA2D47">
            <w:r>
              <w:t>+995,0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156535" w:rsidP="00EE3FC9">
            <w:pPr>
              <w:rPr>
                <w:bCs/>
              </w:rPr>
            </w:pPr>
            <w:r w:rsidRPr="00156535">
              <w:rPr>
                <w:bCs/>
              </w:rPr>
              <w:t>Межбюджетные трансферты, передаваемые бюджетам муниципальных округов 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пуктах проведения экзамена на территории Удмуртской Республики</w:t>
            </w:r>
          </w:p>
        </w:tc>
        <w:tc>
          <w:tcPr>
            <w:tcW w:w="1167" w:type="dxa"/>
          </w:tcPr>
          <w:p w:rsidR="003C75C0" w:rsidRPr="000156EE" w:rsidRDefault="00156535" w:rsidP="00DA2D47">
            <w:r>
              <w:t>-3484,6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DA2D47" w:rsidRDefault="00156535" w:rsidP="00EE3FC9">
            <w:pPr>
              <w:rPr>
                <w:bCs/>
              </w:rPr>
            </w:pPr>
            <w:r w:rsidRPr="00156535">
              <w:rPr>
                <w:bCs/>
              </w:rPr>
              <w:t>Межбюджетные трансферты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7" w:type="dxa"/>
          </w:tcPr>
          <w:p w:rsidR="003C75C0" w:rsidRPr="000156EE" w:rsidRDefault="00156535" w:rsidP="00DA2D47">
            <w:r>
              <w:t>+40690,6</w:t>
            </w:r>
          </w:p>
        </w:tc>
      </w:tr>
      <w:tr w:rsidR="00156535" w:rsidRPr="009D279D" w:rsidTr="00D96101">
        <w:tc>
          <w:tcPr>
            <w:tcW w:w="9006" w:type="dxa"/>
          </w:tcPr>
          <w:p w:rsidR="00156535" w:rsidRPr="00156535" w:rsidRDefault="00156535" w:rsidP="00EE3FC9">
            <w:pPr>
              <w:rPr>
                <w:bCs/>
              </w:rPr>
            </w:pPr>
            <w:r w:rsidRPr="00156535">
              <w:rPr>
                <w:bCs/>
              </w:rPr>
              <w:t>Межбюджетные трансферты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7" w:type="dxa"/>
          </w:tcPr>
          <w:p w:rsidR="00156535" w:rsidRDefault="00156535" w:rsidP="00DA2D47">
            <w:r>
              <w:t>+226,8</w:t>
            </w:r>
          </w:p>
        </w:tc>
      </w:tr>
      <w:tr w:rsidR="00156535" w:rsidRPr="009D279D" w:rsidTr="00D96101">
        <w:tc>
          <w:tcPr>
            <w:tcW w:w="9006" w:type="dxa"/>
          </w:tcPr>
          <w:p w:rsidR="00156535" w:rsidRPr="00156535" w:rsidRDefault="00156535" w:rsidP="00EE3FC9">
            <w:pPr>
              <w:rPr>
                <w:bCs/>
              </w:rPr>
            </w:pPr>
            <w:r w:rsidRPr="00156535">
              <w:rPr>
                <w:bCs/>
              </w:rPr>
              <w:t>Межбюджетные трансферты, передаваемые бюджетам муниципальных округов на софинансирование инициативных проектов, выдаваемых для получения финансовой поддержки из бюджета Удмуртской Республики в 2022 году ( молодежного инициативного бюджетирования)</w:t>
            </w:r>
          </w:p>
        </w:tc>
        <w:tc>
          <w:tcPr>
            <w:tcW w:w="1167" w:type="dxa"/>
          </w:tcPr>
          <w:p w:rsidR="00156535" w:rsidRDefault="00156535" w:rsidP="00DA2D47">
            <w:r>
              <w:t>+830,3</w:t>
            </w:r>
          </w:p>
        </w:tc>
      </w:tr>
      <w:tr w:rsidR="00156535" w:rsidRPr="009D279D" w:rsidTr="00D96101">
        <w:tc>
          <w:tcPr>
            <w:tcW w:w="9006" w:type="dxa"/>
          </w:tcPr>
          <w:p w:rsidR="00156535" w:rsidRPr="00156535" w:rsidRDefault="00156535" w:rsidP="00EE3FC9">
            <w:pPr>
              <w:rPr>
                <w:bCs/>
              </w:rPr>
            </w:pPr>
            <w:r w:rsidRPr="00156535">
              <w:rPr>
                <w:bCs/>
              </w:rPr>
              <w:t>Межбюджетные трансферты, передаваемые бюджетам муниципальных округов на софинансирование инициативных проектов, выдаваемых для получения финансовой поддержки из бюджета Удмуртской Республики в 2022 году (инициативное бюджетирование)</w:t>
            </w:r>
          </w:p>
        </w:tc>
        <w:tc>
          <w:tcPr>
            <w:tcW w:w="1167" w:type="dxa"/>
          </w:tcPr>
          <w:p w:rsidR="00156535" w:rsidRDefault="00156535" w:rsidP="00DA2D47">
            <w:r>
              <w:t>+4080,7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Pr="003C75C0" w:rsidRDefault="003C75C0" w:rsidP="00EE3FC9">
            <w:pPr>
              <w:rPr>
                <w:b/>
                <w:bCs/>
              </w:rPr>
            </w:pPr>
            <w:r w:rsidRPr="003C75C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67" w:type="dxa"/>
          </w:tcPr>
          <w:p w:rsidR="003C75C0" w:rsidRPr="003C75C0" w:rsidRDefault="003C75C0" w:rsidP="00DA2D47">
            <w:pPr>
              <w:rPr>
                <w:b/>
              </w:rPr>
            </w:pPr>
            <w:r w:rsidRPr="003C75C0">
              <w:rPr>
                <w:b/>
              </w:rPr>
              <w:t>-32343,0</w:t>
            </w:r>
          </w:p>
        </w:tc>
      </w:tr>
      <w:tr w:rsidR="003C75C0" w:rsidRPr="009D279D" w:rsidTr="00D96101">
        <w:tc>
          <w:tcPr>
            <w:tcW w:w="9006" w:type="dxa"/>
          </w:tcPr>
          <w:p w:rsidR="003C75C0" w:rsidRDefault="003C75C0" w:rsidP="003C75C0">
            <w:r>
              <w:t xml:space="preserve">Прочие безвозмездные поступления в бюджеты муниципальных округов </w:t>
            </w:r>
          </w:p>
          <w:p w:rsidR="003C75C0" w:rsidRPr="00DA2D47" w:rsidRDefault="003C75C0" w:rsidP="00EE3FC9">
            <w:pPr>
              <w:rPr>
                <w:bCs/>
              </w:rPr>
            </w:pPr>
          </w:p>
        </w:tc>
        <w:tc>
          <w:tcPr>
            <w:tcW w:w="1167" w:type="dxa"/>
          </w:tcPr>
          <w:p w:rsidR="003C75C0" w:rsidRPr="000156EE" w:rsidRDefault="003C75C0" w:rsidP="00DA2D47">
            <w:r>
              <w:t>-32343,0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77140A" w:rsidRDefault="0077140A" w:rsidP="0077140A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«Каракулинский район» на плановый период 2023-2024 годов</w:t>
      </w:r>
    </w:p>
    <w:p w:rsidR="0077140A" w:rsidRPr="002D219B" w:rsidRDefault="0077140A" w:rsidP="0077140A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77140A" w:rsidRPr="007F621A" w:rsidTr="00397660">
        <w:trPr>
          <w:trHeight w:val="230"/>
        </w:trPr>
        <w:tc>
          <w:tcPr>
            <w:tcW w:w="8169" w:type="dxa"/>
            <w:vMerge w:val="restart"/>
          </w:tcPr>
          <w:p w:rsidR="0077140A" w:rsidRPr="007F621A" w:rsidRDefault="0077140A" w:rsidP="00397660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77140A" w:rsidRPr="007F621A" w:rsidRDefault="0077140A" w:rsidP="0077140A">
            <w:pPr>
              <w:jc w:val="both"/>
            </w:pPr>
            <w:r>
              <w:t>2023</w:t>
            </w:r>
          </w:p>
        </w:tc>
        <w:tc>
          <w:tcPr>
            <w:tcW w:w="1115" w:type="dxa"/>
            <w:vMerge w:val="restart"/>
          </w:tcPr>
          <w:p w:rsidR="0077140A" w:rsidRPr="007F621A" w:rsidRDefault="0077140A" w:rsidP="00397660">
            <w:pPr>
              <w:jc w:val="both"/>
            </w:pPr>
            <w:r>
              <w:t>2024</w:t>
            </w:r>
          </w:p>
        </w:tc>
      </w:tr>
      <w:tr w:rsidR="0077140A" w:rsidRPr="007F621A" w:rsidTr="00397660">
        <w:trPr>
          <w:trHeight w:val="230"/>
        </w:trPr>
        <w:tc>
          <w:tcPr>
            <w:tcW w:w="8169" w:type="dxa"/>
            <w:vMerge/>
          </w:tcPr>
          <w:p w:rsidR="0077140A" w:rsidRPr="007F621A" w:rsidRDefault="0077140A" w:rsidP="00397660">
            <w:pPr>
              <w:jc w:val="both"/>
            </w:pPr>
          </w:p>
        </w:tc>
        <w:tc>
          <w:tcPr>
            <w:tcW w:w="1057" w:type="dxa"/>
            <w:vMerge/>
          </w:tcPr>
          <w:p w:rsidR="0077140A" w:rsidRPr="007F621A" w:rsidRDefault="0077140A" w:rsidP="00397660">
            <w:pPr>
              <w:jc w:val="both"/>
            </w:pPr>
          </w:p>
        </w:tc>
        <w:tc>
          <w:tcPr>
            <w:tcW w:w="1115" w:type="dxa"/>
            <w:vMerge/>
          </w:tcPr>
          <w:p w:rsidR="0077140A" w:rsidRPr="007F621A" w:rsidRDefault="0077140A" w:rsidP="00397660">
            <w:pPr>
              <w:jc w:val="both"/>
            </w:pPr>
          </w:p>
        </w:tc>
      </w:tr>
      <w:tr w:rsidR="0077140A" w:rsidRPr="00BB16B8" w:rsidTr="00397660">
        <w:tc>
          <w:tcPr>
            <w:tcW w:w="8169" w:type="dxa"/>
          </w:tcPr>
          <w:p w:rsidR="0077140A" w:rsidRPr="001B7E80" w:rsidRDefault="0077140A" w:rsidP="00397660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77140A" w:rsidRPr="005625D9" w:rsidRDefault="0077140A" w:rsidP="0077140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+1130,7</w:t>
            </w:r>
          </w:p>
        </w:tc>
        <w:tc>
          <w:tcPr>
            <w:tcW w:w="1115" w:type="dxa"/>
          </w:tcPr>
          <w:p w:rsidR="0077140A" w:rsidRPr="00186CAC" w:rsidRDefault="00E330D3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77140A">
              <w:rPr>
                <w:b/>
                <w:i/>
                <w:sz w:val="22"/>
                <w:szCs w:val="22"/>
              </w:rPr>
              <w:t>704,5</w:t>
            </w:r>
          </w:p>
        </w:tc>
      </w:tr>
      <w:tr w:rsidR="0077140A" w:rsidRPr="00BB16B8" w:rsidTr="00397660">
        <w:tc>
          <w:tcPr>
            <w:tcW w:w="8169" w:type="dxa"/>
          </w:tcPr>
          <w:p w:rsidR="0077140A" w:rsidRPr="001B7E80" w:rsidRDefault="0077140A" w:rsidP="00397660">
            <w:pPr>
              <w:jc w:val="both"/>
              <w:rPr>
                <w:b/>
                <w:i/>
                <w:sz w:val="22"/>
                <w:szCs w:val="22"/>
              </w:rPr>
            </w:pPr>
            <w:r w:rsidRPr="00014980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</w:tcPr>
          <w:p w:rsidR="0077140A" w:rsidRDefault="00E330D3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676,8</w:t>
            </w:r>
          </w:p>
        </w:tc>
        <w:tc>
          <w:tcPr>
            <w:tcW w:w="1115" w:type="dxa"/>
          </w:tcPr>
          <w:p w:rsidR="0077140A" w:rsidRPr="00186CAC" w:rsidRDefault="00E330D3" w:rsidP="0039766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+704,5</w:t>
            </w:r>
          </w:p>
        </w:tc>
      </w:tr>
      <w:tr w:rsidR="0077140A" w:rsidRPr="00BB16B8" w:rsidTr="00397660">
        <w:tc>
          <w:tcPr>
            <w:tcW w:w="8169" w:type="dxa"/>
          </w:tcPr>
          <w:p w:rsidR="0077140A" w:rsidRPr="001B7E80" w:rsidRDefault="00E330D3" w:rsidP="00397660">
            <w:pPr>
              <w:jc w:val="both"/>
              <w:rPr>
                <w:sz w:val="22"/>
                <w:szCs w:val="22"/>
              </w:rPr>
            </w:pPr>
            <w:r w:rsidRPr="00E330D3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057" w:type="dxa"/>
          </w:tcPr>
          <w:p w:rsidR="0077140A" w:rsidRPr="00BB16B8" w:rsidRDefault="00E330D3" w:rsidP="00397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676,8</w:t>
            </w:r>
          </w:p>
        </w:tc>
        <w:tc>
          <w:tcPr>
            <w:tcW w:w="1115" w:type="dxa"/>
          </w:tcPr>
          <w:p w:rsidR="0077140A" w:rsidRDefault="00E330D3" w:rsidP="00397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+704,5</w:t>
            </w:r>
          </w:p>
        </w:tc>
      </w:tr>
      <w:tr w:rsidR="00E330D3" w:rsidRPr="00BB16B8" w:rsidTr="00397660">
        <w:tc>
          <w:tcPr>
            <w:tcW w:w="8169" w:type="dxa"/>
          </w:tcPr>
          <w:p w:rsidR="00E330D3" w:rsidRPr="00E330D3" w:rsidRDefault="00E330D3" w:rsidP="00397660">
            <w:pPr>
              <w:jc w:val="both"/>
              <w:rPr>
                <w:sz w:val="22"/>
                <w:szCs w:val="22"/>
              </w:rPr>
            </w:pPr>
            <w:r w:rsidRPr="00E330D3">
              <w:rPr>
                <w:sz w:val="22"/>
                <w:szCs w:val="22"/>
              </w:rPr>
              <w:t>Межбюджетные трансферты бюджетам муниципальных округов на осуществление мероприятий по выявлению правообладателей ранее учтённых объектов недвижимости и мероприятий по обеспечению внесения в ЕГРН сведений о правообладателях ранее учтенных объектов недвижимости</w:t>
            </w:r>
          </w:p>
        </w:tc>
        <w:tc>
          <w:tcPr>
            <w:tcW w:w="1057" w:type="dxa"/>
          </w:tcPr>
          <w:p w:rsidR="00E330D3" w:rsidRPr="00BB16B8" w:rsidRDefault="00E330D3" w:rsidP="00397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453,9</w:t>
            </w:r>
          </w:p>
        </w:tc>
        <w:tc>
          <w:tcPr>
            <w:tcW w:w="1115" w:type="dxa"/>
          </w:tcPr>
          <w:p w:rsidR="00E330D3" w:rsidRDefault="00E330D3" w:rsidP="00397660">
            <w:pPr>
              <w:jc w:val="both"/>
              <w:rPr>
                <w:sz w:val="22"/>
                <w:szCs w:val="22"/>
              </w:rPr>
            </w:pPr>
          </w:p>
        </w:tc>
      </w:tr>
    </w:tbl>
    <w:p w:rsidR="0077140A" w:rsidRDefault="0077140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B70DCC">
        <w:rPr>
          <w:sz w:val="26"/>
          <w:szCs w:val="26"/>
        </w:rPr>
        <w:t>20 767,4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B70DCC" w:rsidRP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t>Изменение расходной части бюджета предусматривается за счет:</w:t>
      </w:r>
    </w:p>
    <w:p w:rsid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t>- дополнительных безвозмездных поступлений от других бюджетов бюджетной системы РФ на сумму  </w:t>
      </w:r>
      <w:r w:rsidR="00D42D77">
        <w:rPr>
          <w:sz w:val="26"/>
          <w:szCs w:val="26"/>
        </w:rPr>
        <w:t>43698,1</w:t>
      </w:r>
      <w:r w:rsidR="000F2BD0">
        <w:rPr>
          <w:sz w:val="26"/>
          <w:szCs w:val="26"/>
        </w:rPr>
        <w:t xml:space="preserve"> тыс.</w:t>
      </w:r>
      <w:r w:rsidR="00397660"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руб</w:t>
      </w:r>
      <w:r w:rsidR="000F2BD0">
        <w:rPr>
          <w:sz w:val="26"/>
          <w:szCs w:val="26"/>
        </w:rPr>
        <w:t>лей</w:t>
      </w:r>
      <w:r w:rsidRPr="00B70DCC">
        <w:rPr>
          <w:sz w:val="26"/>
          <w:szCs w:val="26"/>
        </w:rPr>
        <w:t>;</w:t>
      </w:r>
    </w:p>
    <w:p w:rsidR="00D42D77" w:rsidRPr="00B70DCC" w:rsidRDefault="00D42D77" w:rsidP="00B70DCC">
      <w:pPr>
        <w:pStyle w:val="aa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- уменьшения прочих </w:t>
      </w:r>
      <w:r w:rsidRPr="00B70DCC">
        <w:rPr>
          <w:sz w:val="26"/>
          <w:szCs w:val="26"/>
        </w:rPr>
        <w:t>безвозмездных поступлений</w:t>
      </w:r>
      <w:r>
        <w:rPr>
          <w:sz w:val="26"/>
          <w:szCs w:val="26"/>
        </w:rPr>
        <w:t xml:space="preserve"> в бюджет муниципального образования на сумму 32343,0</w:t>
      </w:r>
      <w:r w:rsidRPr="00D42D77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397660"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70DCC">
        <w:rPr>
          <w:sz w:val="26"/>
          <w:szCs w:val="26"/>
        </w:rPr>
        <w:t>;</w:t>
      </w:r>
    </w:p>
    <w:p w:rsidR="00B70DCC" w:rsidRPr="00B70DCC" w:rsidRDefault="00B70DCC" w:rsidP="00B70DCC">
      <w:pPr>
        <w:pStyle w:val="aa"/>
        <w:tabs>
          <w:tab w:val="left" w:pos="0"/>
        </w:tabs>
        <w:rPr>
          <w:sz w:val="26"/>
          <w:szCs w:val="26"/>
        </w:rPr>
      </w:pPr>
      <w:r w:rsidRPr="00B70DCC">
        <w:rPr>
          <w:sz w:val="26"/>
          <w:szCs w:val="26"/>
        </w:rPr>
        <w:lastRenderedPageBreak/>
        <w:t>- увеличения налоговых и неналоговых доходов, зачисляемых в бюджеты муниципальных округов на 2022 год на сумму 9 412 0</w:t>
      </w:r>
      <w:r w:rsidR="000F2BD0">
        <w:rPr>
          <w:sz w:val="26"/>
          <w:szCs w:val="26"/>
        </w:rPr>
        <w:t>,</w:t>
      </w:r>
      <w:r w:rsidRPr="00B70DCC">
        <w:rPr>
          <w:sz w:val="26"/>
          <w:szCs w:val="26"/>
        </w:rPr>
        <w:t>0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 xml:space="preserve">тыс. </w:t>
      </w:r>
      <w:r w:rsidR="000F2BD0" w:rsidRPr="00B70DCC">
        <w:rPr>
          <w:sz w:val="26"/>
          <w:szCs w:val="26"/>
        </w:rPr>
        <w:t>руб</w:t>
      </w:r>
      <w:r w:rsidR="000F2BD0">
        <w:rPr>
          <w:sz w:val="26"/>
          <w:szCs w:val="26"/>
        </w:rPr>
        <w:t>лей</w:t>
      </w:r>
      <w:r w:rsidR="000F2BD0" w:rsidRPr="00B70DCC">
        <w:rPr>
          <w:sz w:val="26"/>
          <w:szCs w:val="26"/>
        </w:rPr>
        <w:t>;</w:t>
      </w:r>
    </w:p>
    <w:p w:rsidR="00B70DCC" w:rsidRPr="00B70DCC" w:rsidRDefault="00B70DCC" w:rsidP="00B70D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B70DCC">
        <w:rPr>
          <w:sz w:val="26"/>
          <w:szCs w:val="26"/>
        </w:rPr>
        <w:t xml:space="preserve">         В расходную часть бюджета муниципального образования «Муниципальный округ Каракулинский район Удмуртской Республики» на 2023 год внесены изменения на общую сумму</w:t>
      </w:r>
      <w:r>
        <w:rPr>
          <w:sz w:val="26"/>
          <w:szCs w:val="26"/>
        </w:rPr>
        <w:t xml:space="preserve"> </w:t>
      </w:r>
      <w:r w:rsidRPr="00B70DCC">
        <w:rPr>
          <w:sz w:val="26"/>
          <w:szCs w:val="26"/>
        </w:rPr>
        <w:t>1 130 7</w:t>
      </w:r>
      <w:r w:rsidR="000F2BD0">
        <w:rPr>
          <w:sz w:val="26"/>
          <w:szCs w:val="26"/>
        </w:rPr>
        <w:t>,</w:t>
      </w:r>
      <w:r w:rsidRPr="00B70DCC">
        <w:rPr>
          <w:sz w:val="26"/>
          <w:szCs w:val="26"/>
        </w:rPr>
        <w:t xml:space="preserve">0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="00D42D77">
        <w:rPr>
          <w:sz w:val="26"/>
          <w:szCs w:val="26"/>
        </w:rPr>
        <w:t>,</w:t>
      </w:r>
      <w:r w:rsidRPr="00B70DCC">
        <w:rPr>
          <w:sz w:val="26"/>
          <w:szCs w:val="26"/>
        </w:rPr>
        <w:t xml:space="preserve"> за счет увеличения безвозмездных поступлений (субсидии бюджетам муниципальных округов на содержание автомобильных дорог местного значения и искусственных сооружений на них, по которым проходят маршруты школьных автобусов и межбюджетного трансферта бюджетам муниципальных округов на осуществление мероприятий по выявлению правообладателей ранее учтенных объектов недвижимости и мероприятий по обеспечению внесения в ЕГРН сведений о правообладателей ранее учтенных объектов недвижимости).</w:t>
      </w:r>
    </w:p>
    <w:p w:rsidR="00B70DCC" w:rsidRPr="00B70DCC" w:rsidRDefault="00B70DCC" w:rsidP="00B70D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B70DCC">
        <w:rPr>
          <w:sz w:val="26"/>
          <w:szCs w:val="26"/>
        </w:rPr>
        <w:t xml:space="preserve">        В расходную часть бюджета муниципального образования «Муниципальный округ Каракулинский район Удмуртской Республики» на 2024 год внесены изменения на общую сумму  704</w:t>
      </w:r>
      <w:r w:rsidR="00D42D77">
        <w:rPr>
          <w:sz w:val="26"/>
          <w:szCs w:val="26"/>
        </w:rPr>
        <w:t>,</w:t>
      </w:r>
      <w:r w:rsidRPr="00B70DCC">
        <w:rPr>
          <w:sz w:val="26"/>
          <w:szCs w:val="26"/>
        </w:rPr>
        <w:t>5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лей,</w:t>
      </w:r>
      <w:r w:rsidRPr="00B70DCC">
        <w:rPr>
          <w:sz w:val="26"/>
          <w:szCs w:val="26"/>
        </w:rPr>
        <w:t xml:space="preserve"> за счет увеличения безвозмездных поступлений (субсидии бюджетам муниципальных округов на содержание автомобильных дорог местного значения и искусственных сооружений на них, по которым проходят маршруты школьных автобусов).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на 2022 год прогнозируются в следующих размерах: 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- 635</w:t>
      </w:r>
      <w:r w:rsidR="000F2BD0">
        <w:rPr>
          <w:rFonts w:eastAsia="Calibri"/>
          <w:sz w:val="26"/>
          <w:szCs w:val="26"/>
        </w:rPr>
        <w:t> </w:t>
      </w:r>
      <w:r w:rsidRPr="00B70DCC">
        <w:rPr>
          <w:rFonts w:eastAsia="Calibri"/>
          <w:sz w:val="26"/>
          <w:szCs w:val="26"/>
        </w:rPr>
        <w:t>046</w:t>
      </w:r>
      <w:r w:rsidR="000F2BD0">
        <w:rPr>
          <w:rFonts w:eastAsia="Calibri"/>
          <w:sz w:val="26"/>
          <w:szCs w:val="26"/>
        </w:rPr>
        <w:t>,</w:t>
      </w:r>
      <w:r w:rsidRPr="00B70DCC">
        <w:rPr>
          <w:rFonts w:eastAsia="Calibri"/>
          <w:sz w:val="26"/>
          <w:szCs w:val="26"/>
        </w:rPr>
        <w:t xml:space="preserve">1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="00397660">
        <w:rPr>
          <w:sz w:val="26"/>
          <w:szCs w:val="26"/>
        </w:rPr>
        <w:t>;</w:t>
      </w:r>
      <w:r w:rsidRPr="00B70DCC">
        <w:rPr>
          <w:rFonts w:eastAsia="Calibri"/>
          <w:sz w:val="26"/>
          <w:szCs w:val="26"/>
        </w:rPr>
        <w:t xml:space="preserve"> 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расходов 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- 668</w:t>
      </w:r>
      <w:r w:rsidR="000F2BD0">
        <w:rPr>
          <w:rFonts w:eastAsia="Calibri"/>
          <w:sz w:val="26"/>
          <w:szCs w:val="26"/>
        </w:rPr>
        <w:t> </w:t>
      </w:r>
      <w:r w:rsidRPr="00B70DCC">
        <w:rPr>
          <w:rFonts w:eastAsia="Calibri"/>
          <w:sz w:val="26"/>
          <w:szCs w:val="26"/>
        </w:rPr>
        <w:t>135</w:t>
      </w:r>
      <w:r w:rsidR="000F2BD0">
        <w:rPr>
          <w:rFonts w:eastAsia="Calibri"/>
          <w:sz w:val="26"/>
          <w:szCs w:val="26"/>
        </w:rPr>
        <w:t>,</w:t>
      </w:r>
      <w:r w:rsidRPr="00B70DCC">
        <w:rPr>
          <w:rFonts w:eastAsia="Calibri"/>
          <w:sz w:val="26"/>
          <w:szCs w:val="26"/>
        </w:rPr>
        <w:t xml:space="preserve"> 4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Pr="00B70DCC">
        <w:rPr>
          <w:rFonts w:eastAsia="Calibri"/>
          <w:sz w:val="26"/>
          <w:szCs w:val="26"/>
        </w:rPr>
        <w:t>;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дефицит- 33</w:t>
      </w:r>
      <w:r w:rsidR="000F2BD0">
        <w:rPr>
          <w:rFonts w:eastAsia="Calibri"/>
          <w:sz w:val="26"/>
          <w:szCs w:val="26"/>
        </w:rPr>
        <w:t> </w:t>
      </w:r>
      <w:r w:rsidRPr="00B70DCC">
        <w:rPr>
          <w:rFonts w:eastAsia="Calibri"/>
          <w:sz w:val="26"/>
          <w:szCs w:val="26"/>
        </w:rPr>
        <w:t>089</w:t>
      </w:r>
      <w:r w:rsidR="000F2BD0">
        <w:rPr>
          <w:rFonts w:eastAsia="Calibri"/>
          <w:sz w:val="26"/>
          <w:szCs w:val="26"/>
        </w:rPr>
        <w:t>,</w:t>
      </w:r>
      <w:r w:rsidR="002433D0">
        <w:rPr>
          <w:rFonts w:eastAsia="Calibri"/>
          <w:sz w:val="26"/>
          <w:szCs w:val="26"/>
        </w:rPr>
        <w:t>3</w:t>
      </w:r>
      <w:r w:rsidR="000F2BD0" w:rsidRPr="000F2BD0">
        <w:rPr>
          <w:sz w:val="26"/>
          <w:szCs w:val="26"/>
        </w:rPr>
        <w:t xml:space="preserve"> </w:t>
      </w:r>
      <w:r w:rsidR="000F2BD0">
        <w:rPr>
          <w:sz w:val="26"/>
          <w:szCs w:val="26"/>
        </w:rPr>
        <w:t>тыс.</w:t>
      </w:r>
      <w:r w:rsidR="000F2BD0" w:rsidRPr="009D52CC">
        <w:rPr>
          <w:sz w:val="26"/>
          <w:szCs w:val="26"/>
        </w:rPr>
        <w:t xml:space="preserve"> руб</w:t>
      </w:r>
      <w:r w:rsidR="000F2BD0">
        <w:rPr>
          <w:sz w:val="26"/>
          <w:szCs w:val="26"/>
        </w:rPr>
        <w:t>лей</w:t>
      </w:r>
      <w:r w:rsidRPr="00B70DCC">
        <w:rPr>
          <w:rFonts w:eastAsia="Calibri"/>
          <w:sz w:val="26"/>
          <w:szCs w:val="26"/>
        </w:rPr>
        <w:t>.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на 2023 год  прогнозируются в следующих размерах: 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расходов 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>» - 435 796</w:t>
      </w:r>
      <w:r w:rsidR="002433D0">
        <w:rPr>
          <w:rFonts w:eastAsia="Calibri"/>
          <w:sz w:val="26"/>
          <w:szCs w:val="26"/>
        </w:rPr>
        <w:t xml:space="preserve">,6 </w:t>
      </w:r>
      <w:r w:rsidR="002433D0">
        <w:rPr>
          <w:sz w:val="26"/>
          <w:szCs w:val="26"/>
        </w:rPr>
        <w:t>тыс.</w:t>
      </w:r>
      <w:r w:rsidR="002433D0" w:rsidRPr="009D52CC">
        <w:rPr>
          <w:sz w:val="26"/>
          <w:szCs w:val="26"/>
        </w:rPr>
        <w:t xml:space="preserve"> руб</w:t>
      </w:r>
      <w:r w:rsidR="002433D0">
        <w:rPr>
          <w:sz w:val="26"/>
          <w:szCs w:val="26"/>
        </w:rPr>
        <w:t>лей.</w:t>
      </w:r>
    </w:p>
    <w:p w:rsidR="00B70DCC" w:rsidRPr="00B70DCC" w:rsidRDefault="00B70DCC" w:rsidP="00B70DCC">
      <w:pPr>
        <w:ind w:firstLine="567"/>
        <w:jc w:val="both"/>
        <w:rPr>
          <w:rFonts w:eastAsia="Calibri"/>
          <w:sz w:val="26"/>
          <w:szCs w:val="26"/>
        </w:rPr>
      </w:pPr>
      <w:r w:rsidRPr="00B70DCC">
        <w:rPr>
          <w:rFonts w:eastAsia="Calibri"/>
          <w:sz w:val="26"/>
          <w:szCs w:val="26"/>
        </w:rPr>
        <w:t>- общий объём расходов бюджета муниципального образования «</w:t>
      </w:r>
      <w:r w:rsidRPr="00B70DCC">
        <w:rPr>
          <w:sz w:val="26"/>
          <w:szCs w:val="26"/>
        </w:rPr>
        <w:t>Муниципальный округ Каракулинский район Удмуртской Республики</w:t>
      </w:r>
      <w:r w:rsidRPr="00B70DCC">
        <w:rPr>
          <w:rFonts w:eastAsia="Calibri"/>
          <w:sz w:val="26"/>
          <w:szCs w:val="26"/>
        </w:rPr>
        <w:t xml:space="preserve">» - </w:t>
      </w:r>
      <w:r w:rsidR="002433D0" w:rsidRPr="00B70DCC">
        <w:rPr>
          <w:rFonts w:eastAsia="Calibri"/>
          <w:sz w:val="26"/>
          <w:szCs w:val="26"/>
        </w:rPr>
        <w:t>444</w:t>
      </w:r>
      <w:r w:rsidR="002433D0">
        <w:rPr>
          <w:rFonts w:eastAsia="Calibri"/>
          <w:sz w:val="26"/>
          <w:szCs w:val="26"/>
        </w:rPr>
        <w:t> </w:t>
      </w:r>
      <w:r w:rsidR="002433D0" w:rsidRPr="00B70DCC">
        <w:rPr>
          <w:rFonts w:eastAsia="Calibri"/>
          <w:sz w:val="26"/>
          <w:szCs w:val="26"/>
        </w:rPr>
        <w:t>708</w:t>
      </w:r>
      <w:r w:rsidR="002433D0">
        <w:rPr>
          <w:rFonts w:eastAsia="Calibri"/>
          <w:sz w:val="26"/>
          <w:szCs w:val="26"/>
        </w:rPr>
        <w:t>,</w:t>
      </w:r>
      <w:r w:rsidR="002433D0" w:rsidRPr="00B70DCC">
        <w:rPr>
          <w:rFonts w:eastAsia="Calibri"/>
          <w:sz w:val="26"/>
          <w:szCs w:val="26"/>
        </w:rPr>
        <w:t>5</w:t>
      </w:r>
      <w:r w:rsidR="002433D0">
        <w:rPr>
          <w:rFonts w:eastAsia="Calibri"/>
          <w:sz w:val="26"/>
          <w:szCs w:val="26"/>
        </w:rPr>
        <w:t xml:space="preserve"> тыс.</w:t>
      </w:r>
      <w:r w:rsidR="00397660">
        <w:rPr>
          <w:rFonts w:eastAsia="Calibri"/>
          <w:sz w:val="26"/>
          <w:szCs w:val="26"/>
        </w:rPr>
        <w:t xml:space="preserve"> </w:t>
      </w:r>
      <w:r w:rsidR="002433D0">
        <w:rPr>
          <w:rFonts w:eastAsia="Calibri"/>
          <w:sz w:val="26"/>
          <w:szCs w:val="26"/>
        </w:rPr>
        <w:t>рублей.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135FFF">
        <w:rPr>
          <w:sz w:val="26"/>
          <w:szCs w:val="26"/>
        </w:rPr>
        <w:t>Анализ</w:t>
      </w:r>
      <w:r w:rsidRPr="00012361">
        <w:rPr>
          <w:sz w:val="26"/>
          <w:szCs w:val="26"/>
        </w:rPr>
        <w:t xml:space="preserve">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>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 w:rsidR="002B68B1" w:rsidRPr="00221F5C"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2B68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  <w:r w:rsidRPr="00C50C85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50C85" w:rsidRDefault="0047446A" w:rsidP="00FE7869">
            <w:pPr>
              <w:rPr>
                <w:b/>
                <w:bCs/>
              </w:rPr>
            </w:pPr>
            <w:r w:rsidRPr="00C50C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94" w:rsidRPr="00674194" w:rsidRDefault="007E04CC" w:rsidP="006741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0C6CB6">
              <w:rPr>
                <w:b/>
                <w:bCs/>
                <w:color w:val="000000"/>
              </w:rPr>
              <w:t>6998,2</w:t>
            </w:r>
          </w:p>
          <w:p w:rsidR="0047446A" w:rsidRPr="00F80FEA" w:rsidRDefault="0047446A" w:rsidP="00C6111E">
            <w:pPr>
              <w:jc w:val="right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391B28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+453,9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0C6CB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0C6CB6">
              <w:rPr>
                <w:i/>
              </w:rPr>
              <w:t>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0C6CB6" w:rsidP="00FE7869">
            <w:pPr>
              <w:rPr>
                <w:i/>
              </w:rPr>
            </w:pPr>
            <w:r w:rsidRPr="000C6CB6">
              <w:rPr>
                <w:i/>
              </w:rPr>
              <w:t>Муниципальная программа "Муниципальное управлен</w:t>
            </w:r>
            <w:r>
              <w:rPr>
                <w:i/>
              </w:rPr>
              <w:t>ие»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0C6CB6" w:rsidP="00301057">
            <w:pPr>
              <w:jc w:val="right"/>
              <w:rPr>
                <w:i/>
              </w:rPr>
            </w:pPr>
            <w:r>
              <w:rPr>
                <w:i/>
              </w:rPr>
              <w:t>-70,0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0C6CB6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0C6CB6" w:rsidRDefault="000C6CB6" w:rsidP="00C7291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0C6CB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CB6" w:rsidRPr="00A54797" w:rsidRDefault="000C6CB6" w:rsidP="00C7291A">
            <w:pPr>
              <w:rPr>
                <w:i/>
              </w:rPr>
            </w:pPr>
            <w:r w:rsidRPr="000C6CB6">
              <w:rPr>
                <w:i/>
              </w:rPr>
              <w:t>Непрограммные направления деятельности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391B28" w:rsidP="00301057">
            <w:pPr>
              <w:jc w:val="right"/>
              <w:rPr>
                <w:i/>
              </w:rPr>
            </w:pPr>
            <w:r>
              <w:rPr>
                <w:i/>
              </w:rPr>
              <w:t>+14,0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1C39D0">
            <w:pPr>
              <w:jc w:val="right"/>
              <w:rPr>
                <w:i/>
              </w:rPr>
            </w:pPr>
          </w:p>
        </w:tc>
      </w:tr>
      <w:tr w:rsidR="000C6CB6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0C6CB6" w:rsidRDefault="000C6CB6" w:rsidP="00C7291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C7291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CB6" w:rsidRPr="00A54797" w:rsidRDefault="000C6CB6" w:rsidP="00C7291A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391B28" w:rsidP="00391B28">
            <w:pPr>
              <w:jc w:val="right"/>
              <w:rPr>
                <w:i/>
              </w:rPr>
            </w:pPr>
            <w:r>
              <w:rPr>
                <w:i/>
              </w:rPr>
              <w:t>+1112,2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CB6" w:rsidRDefault="000C6CB6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C7291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391B2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54797" w:rsidRDefault="00391B28" w:rsidP="00C7291A">
            <w:pPr>
              <w:rPr>
                <w:i/>
              </w:rPr>
            </w:pPr>
            <w:r w:rsidRPr="00391B28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391B28">
            <w:pPr>
              <w:jc w:val="right"/>
              <w:rPr>
                <w:i/>
              </w:rPr>
            </w:pPr>
            <w:r>
              <w:rPr>
                <w:i/>
              </w:rPr>
              <w:t>+505,2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8E3602" w:rsidRDefault="00391B28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391B28">
            <w:pPr>
              <w:jc w:val="right"/>
              <w:rPr>
                <w:i/>
              </w:rPr>
            </w:pPr>
            <w:r>
              <w:rPr>
                <w:i/>
              </w:rPr>
              <w:t>+5436,8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  <w:r>
              <w:rPr>
                <w:i/>
              </w:rPr>
              <w:t>+453,9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A00F7B" w:rsidRDefault="00391B28" w:rsidP="001E4249">
            <w:pPr>
              <w:jc w:val="center"/>
              <w:rPr>
                <w:b/>
                <w:i/>
              </w:rPr>
            </w:pPr>
            <w:r w:rsidRPr="00A00F7B">
              <w:rPr>
                <w:b/>
                <w:i/>
              </w:rPr>
              <w:lastRenderedPageBreak/>
              <w:t>02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00F7B" w:rsidRDefault="00391B28" w:rsidP="00FE7869">
            <w:pPr>
              <w:rPr>
                <w:b/>
              </w:rPr>
            </w:pPr>
            <w:r w:rsidRPr="00A00F7B">
              <w:rPr>
                <w:b/>
              </w:rPr>
              <w:t>Национальная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B160E" w:rsidRDefault="00FB160E" w:rsidP="00473EFA">
            <w:pPr>
              <w:jc w:val="right"/>
              <w:rPr>
                <w:b/>
                <w:i/>
              </w:rPr>
            </w:pPr>
            <w:r w:rsidRPr="00FB160E">
              <w:rPr>
                <w:b/>
                <w:i/>
              </w:rPr>
              <w:t>+113,0</w:t>
            </w:r>
            <w:r w:rsidR="00391B28" w:rsidRPr="00FB160E">
              <w:rPr>
                <w:b/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56991" w:rsidRDefault="00391B28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56991" w:rsidRDefault="00391B28" w:rsidP="00FE7869">
            <w:pPr>
              <w:rPr>
                <w:b/>
              </w:rPr>
            </w:pPr>
            <w:r w:rsidRPr="00F569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56991" w:rsidRDefault="00391B28" w:rsidP="00FE7869">
            <w:pPr>
              <w:jc w:val="right"/>
              <w:rPr>
                <w:b/>
              </w:rPr>
            </w:pPr>
            <w:r>
              <w:rPr>
                <w:b/>
              </w:rPr>
              <w:t>+2976,5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301057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2150E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301057" w:rsidRDefault="00391B28" w:rsidP="00FE7869">
            <w:r w:rsidRPr="00301057">
              <w:t>Муниципальная программа "Безопасность"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301057" w:rsidRDefault="00391B28" w:rsidP="00FE7869">
            <w:pPr>
              <w:jc w:val="right"/>
            </w:pPr>
            <w:r w:rsidRPr="00301057">
              <w:t>+2976,5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D650F6" w:rsidRDefault="00391B28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C4E62" w:rsidRDefault="00391B28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FB160E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FB160E">
              <w:rPr>
                <w:b/>
              </w:rPr>
              <w:t>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7E53A6" w:rsidP="00662615">
            <w:pPr>
              <w:jc w:val="right"/>
              <w:rPr>
                <w:b/>
              </w:rPr>
            </w:pPr>
            <w:r>
              <w:rPr>
                <w:b/>
              </w:rPr>
              <w:t>+754,8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7E53A6" w:rsidP="002E70C2">
            <w:pPr>
              <w:jc w:val="right"/>
              <w:rPr>
                <w:b/>
              </w:rPr>
            </w:pPr>
            <w:r>
              <w:rPr>
                <w:b/>
              </w:rPr>
              <w:t>+704,5</w:t>
            </w:r>
          </w:p>
        </w:tc>
      </w:tr>
      <w:tr w:rsidR="00391B28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2150EE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7E53A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E53A6">
              <w:rPr>
                <w:i/>
              </w:rPr>
              <w:t>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354BB3" w:rsidRDefault="007E53A6" w:rsidP="002150EE">
            <w:pPr>
              <w:rPr>
                <w:i/>
              </w:rPr>
            </w:pPr>
            <w:r>
              <w:rPr>
                <w:i/>
              </w:rPr>
              <w:t>Сельское хозяйство и рыболовство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2150EE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E53A6" w:rsidRDefault="007E53A6" w:rsidP="008C53B2">
            <w:pPr>
              <w:jc w:val="right"/>
            </w:pPr>
            <w:r w:rsidRPr="007E53A6">
              <w:t>+20,0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977C1B">
            <w:pPr>
              <w:jc w:val="right"/>
              <w:rPr>
                <w:b/>
              </w:rPr>
            </w:pPr>
          </w:p>
        </w:tc>
      </w:tr>
      <w:tr w:rsidR="007E53A6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E53A6" w:rsidRDefault="007E53A6" w:rsidP="00C7291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53A6" w:rsidRDefault="007E53A6" w:rsidP="00C7291A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A6" w:rsidRPr="00354BB3" w:rsidRDefault="007E53A6" w:rsidP="00C7291A">
            <w:pPr>
              <w:rPr>
                <w:i/>
              </w:rPr>
            </w:pPr>
            <w:r w:rsidRPr="002E70C2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Default="007E53A6" w:rsidP="00C7291A">
            <w:pPr>
              <w:jc w:val="right"/>
              <w:rPr>
                <w:i/>
              </w:rPr>
            </w:pPr>
            <w:r>
              <w:rPr>
                <w:i/>
              </w:rPr>
              <w:t>-9,6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Pr="007E53A6" w:rsidRDefault="00331D94" w:rsidP="00C7291A">
            <w:pPr>
              <w:jc w:val="right"/>
            </w:pPr>
            <w:r>
              <w:t>+</w:t>
            </w:r>
            <w:r w:rsidR="007E53A6" w:rsidRPr="007E53A6">
              <w:t>734,8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6" w:rsidRPr="007E53A6" w:rsidRDefault="007E53A6" w:rsidP="00977C1B">
            <w:pPr>
              <w:jc w:val="right"/>
            </w:pPr>
            <w:r>
              <w:t>+</w:t>
            </w:r>
            <w:r w:rsidRPr="007E53A6">
              <w:t>704,5</w:t>
            </w:r>
          </w:p>
        </w:tc>
      </w:tr>
      <w:tr w:rsidR="00331D94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31D94" w:rsidRDefault="00331D94" w:rsidP="00C7291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31D94" w:rsidRDefault="00331D94" w:rsidP="00331D9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94" w:rsidRPr="002E70C2" w:rsidRDefault="00331D94" w:rsidP="00C7291A">
            <w:pPr>
              <w:rPr>
                <w:i/>
              </w:rPr>
            </w:pPr>
            <w:r w:rsidRPr="00331D94">
              <w:rPr>
                <w:i/>
              </w:rPr>
              <w:t>Муниципальная программа "Энергосбережение и повышение энергетической эффективности муниципального образования "Каракулинский район"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Default="00331D94" w:rsidP="00C7291A">
            <w:pPr>
              <w:jc w:val="right"/>
              <w:rPr>
                <w:i/>
              </w:rPr>
            </w:pPr>
            <w:r>
              <w:rPr>
                <w:i/>
              </w:rPr>
              <w:t>+17,4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Pr="007E53A6" w:rsidRDefault="00331D94" w:rsidP="00C7291A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D94" w:rsidRDefault="00331D94" w:rsidP="00977C1B">
            <w:pPr>
              <w:jc w:val="right"/>
            </w:pPr>
          </w:p>
        </w:tc>
      </w:tr>
      <w:tr w:rsidR="00391B28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80FEA" w:rsidRDefault="00391B28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DA4CA3" w:rsidP="003010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-2956,3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1A24A5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1A24A5">
            <w:pPr>
              <w:jc w:val="right"/>
              <w:rPr>
                <w:b/>
                <w:bCs/>
              </w:rPr>
            </w:pPr>
          </w:p>
        </w:tc>
      </w:tr>
      <w:tr w:rsidR="00391B28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DA4C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DA4CA3">
              <w:rPr>
                <w:bCs/>
                <w:i/>
              </w:rPr>
              <w:t>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A01AAE" w:rsidRDefault="00DA4CA3" w:rsidP="00FE7869">
            <w:pPr>
              <w:rPr>
                <w:bCs/>
                <w:i/>
              </w:rPr>
            </w:pPr>
            <w:r w:rsidRPr="00DA4CA3">
              <w:rPr>
                <w:bCs/>
                <w:i/>
              </w:rPr>
              <w:t>Муниципальная программа "Муниципальное хозяйство"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DA4CA3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-3000,6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Cs/>
                <w:i/>
              </w:rPr>
            </w:pPr>
          </w:p>
        </w:tc>
      </w:tr>
      <w:tr w:rsidR="00DA4CA3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4CA3" w:rsidRDefault="00DA4CA3" w:rsidP="00C7291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C7291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A3" w:rsidRPr="00A01AAE" w:rsidRDefault="00DA4CA3" w:rsidP="00C7291A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C7291A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+41,0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right"/>
              <w:rPr>
                <w:bCs/>
                <w:i/>
              </w:rPr>
            </w:pPr>
          </w:p>
        </w:tc>
      </w:tr>
      <w:tr w:rsidR="00391B28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BC6E1D" w:rsidRDefault="00391B28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Благоустройство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DA4CA3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Cs/>
                <w:i/>
              </w:rPr>
            </w:pPr>
          </w:p>
        </w:tc>
      </w:tr>
      <w:tr w:rsidR="00DA4CA3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4CA3" w:rsidRDefault="00DA4CA3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A3" w:rsidRPr="00BC6E1D" w:rsidRDefault="00DA4CA3" w:rsidP="00FE7869">
            <w:pPr>
              <w:rPr>
                <w:bCs/>
                <w:i/>
              </w:rPr>
            </w:pPr>
            <w:r w:rsidRPr="00DA4CA3">
              <w:rPr>
                <w:bCs/>
                <w:i/>
              </w:rPr>
              <w:t>Организация и осуществление муниципального жилищного контроля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A3" w:rsidRDefault="00DA4CA3" w:rsidP="00FE7869">
            <w:pPr>
              <w:jc w:val="right"/>
              <w:rPr>
                <w:bCs/>
                <w:i/>
              </w:rPr>
            </w:pPr>
          </w:p>
        </w:tc>
      </w:tr>
      <w:tr w:rsidR="00391B28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47DD5" w:rsidRDefault="00391B28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511EF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47DD5" w:rsidRDefault="00391B28" w:rsidP="00FE7869">
            <w:pPr>
              <w:jc w:val="right"/>
              <w:rPr>
                <w:b/>
              </w:rPr>
            </w:pPr>
          </w:p>
        </w:tc>
      </w:tr>
      <w:tr w:rsidR="00391B28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Default="00391B28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A42E1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180E13" w:rsidRDefault="00391B28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180E13" w:rsidRDefault="00391B28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994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994860">
              <w:rPr>
                <w:b/>
                <w:bCs/>
              </w:rPr>
              <w:t>12801,5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A56017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180E13" w:rsidRDefault="00391B28" w:rsidP="001C39D0">
            <w:pPr>
              <w:jc w:val="right"/>
              <w:rPr>
                <w:b/>
                <w:bCs/>
              </w:rPr>
            </w:pPr>
          </w:p>
        </w:tc>
      </w:tr>
      <w:tr w:rsidR="00391B28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994860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94860">
              <w:rPr>
                <w:i/>
              </w:rPr>
              <w:t>1416,4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994860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94860">
              <w:rPr>
                <w:i/>
              </w:rPr>
              <w:t>9818,1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>
              <w:rPr>
                <w:i/>
              </w:rPr>
              <w:t>Дополнительное образование детей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994860" w:rsidP="00301057">
            <w:pPr>
              <w:jc w:val="right"/>
              <w:rPr>
                <w:i/>
              </w:rPr>
            </w:pPr>
            <w:r>
              <w:rPr>
                <w:i/>
              </w:rPr>
              <w:t>-405,3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Default="00391B28" w:rsidP="00FE7869">
            <w:pPr>
              <w:rPr>
                <w:i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994860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94860">
              <w:rPr>
                <w:i/>
              </w:rPr>
              <w:t>93,3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823C53">
              <w:rPr>
                <w:i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994860" w:rsidP="00524D0A">
            <w:pPr>
              <w:jc w:val="right"/>
              <w:rPr>
                <w:i/>
              </w:rPr>
            </w:pPr>
            <w:r>
              <w:rPr>
                <w:i/>
              </w:rPr>
              <w:t>+1879,0</w:t>
            </w:r>
            <w:r w:rsidR="00391B28"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7C4E62" w:rsidRDefault="00391B28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b/>
              </w:rPr>
            </w:pPr>
          </w:p>
          <w:p w:rsidR="00391B28" w:rsidRPr="007C4E62" w:rsidRDefault="00994860" w:rsidP="00E532D1">
            <w:pPr>
              <w:jc w:val="right"/>
              <w:rPr>
                <w:b/>
              </w:rPr>
            </w:pPr>
            <w:r>
              <w:rPr>
                <w:b/>
              </w:rPr>
              <w:t>+4087,8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E865AD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7C4E62" w:rsidRDefault="00391B28" w:rsidP="001C39D0">
            <w:pPr>
              <w:jc w:val="right"/>
              <w:rPr>
                <w:b/>
              </w:rPr>
            </w:pPr>
          </w:p>
        </w:tc>
      </w:tr>
      <w:tr w:rsidR="00391B28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40A57" w:rsidRDefault="00391B28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635EA9" w:rsidRDefault="00994860" w:rsidP="00E532D1">
            <w:pPr>
              <w:jc w:val="right"/>
            </w:pPr>
            <w:r>
              <w:t>+4087,8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635EA9" w:rsidRDefault="00391B28" w:rsidP="006840F3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C40A57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F80FEA" w:rsidRDefault="00391B28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59251C" w:rsidP="00E53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+5,</w:t>
            </w:r>
            <w:r w:rsidR="00391B28">
              <w:rPr>
                <w:b/>
                <w:bCs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635EA9">
            <w:pPr>
              <w:jc w:val="right"/>
              <w:rPr>
                <w:b/>
                <w:bCs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E532D1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2034FF" w:rsidRDefault="00391B28" w:rsidP="00FE7869">
            <w:pPr>
              <w:rPr>
                <w:i/>
              </w:rPr>
            </w:pPr>
            <w:r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59251C" w:rsidP="0059251C">
            <w:pPr>
              <w:jc w:val="right"/>
              <w:rPr>
                <w:i/>
              </w:rPr>
            </w:pPr>
            <w:r>
              <w:rPr>
                <w:i/>
              </w:rPr>
              <w:t>+5,0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9412D5" w:rsidRDefault="00391B28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954167" w:rsidRDefault="00391B28" w:rsidP="0059251C">
            <w:pPr>
              <w:jc w:val="right"/>
              <w:rPr>
                <w:b/>
                <w:i/>
              </w:rPr>
            </w:pPr>
            <w:r w:rsidRPr="00954167">
              <w:rPr>
                <w:b/>
                <w:i/>
              </w:rPr>
              <w:t>+</w:t>
            </w:r>
            <w:r w:rsidR="0059251C">
              <w:rPr>
                <w:b/>
                <w:i/>
              </w:rPr>
              <w:t>860,3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9412D5" w:rsidRDefault="00391B28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59251C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59251C">
              <w:rPr>
                <w:i/>
              </w:rPr>
              <w:t>860,3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1C39D0">
            <w:pPr>
              <w:jc w:val="right"/>
              <w:rPr>
                <w:i/>
              </w:rPr>
            </w:pPr>
          </w:p>
        </w:tc>
      </w:tr>
      <w:tr w:rsidR="00391B28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DE79FE" w:rsidRDefault="00391B28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DE79FE" w:rsidRDefault="00391B28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59251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59251C">
              <w:rPr>
                <w:b/>
              </w:rPr>
              <w:t>1037,8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DE79FE" w:rsidRDefault="00391B28" w:rsidP="00FE7869">
            <w:pPr>
              <w:jc w:val="right"/>
              <w:rPr>
                <w:b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2034FF" w:rsidRDefault="00391B28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59251C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59251C">
              <w:rPr>
                <w:i/>
              </w:rPr>
              <w:t>1037,8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2034FF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  <w:r>
              <w:rPr>
                <w:i/>
              </w:rPr>
              <w:t>999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28" w:rsidRPr="00C7540C" w:rsidRDefault="00391B28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Условно утвержденные расходы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E532D1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59251C" w:rsidP="00671A9D">
            <w:pPr>
              <w:jc w:val="right"/>
              <w:rPr>
                <w:i/>
              </w:rPr>
            </w:pPr>
            <w:r>
              <w:rPr>
                <w:i/>
              </w:rPr>
              <w:t>-78,0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Default="00391B28" w:rsidP="00FE7869">
            <w:pPr>
              <w:jc w:val="right"/>
              <w:rPr>
                <w:i/>
              </w:rPr>
            </w:pPr>
          </w:p>
        </w:tc>
      </w:tr>
      <w:tr w:rsidR="00391B28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D42D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+20767,4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391B28" w:rsidP="00D42D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+1130,7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28" w:rsidRPr="00F80FEA" w:rsidRDefault="0059251C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91B28">
              <w:rPr>
                <w:b/>
                <w:bCs/>
              </w:rPr>
              <w:t>704,50</w:t>
            </w:r>
          </w:p>
        </w:tc>
      </w:tr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EB2474" w:rsidRPr="00533645" w:rsidRDefault="00EB2474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F3833" w:rsidRPr="00941942" w:rsidRDefault="00FF3833" w:rsidP="00FC56BC">
      <w:pPr>
        <w:jc w:val="center"/>
        <w:rPr>
          <w:b/>
        </w:rPr>
      </w:pP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490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1134"/>
      </w:tblGrid>
      <w:tr w:rsidR="0047446A" w:rsidRPr="005409A9" w:rsidTr="00C50C85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C50C85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9E3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C015B9"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</w:t>
            </w:r>
            <w:r w:rsidR="002B68B1">
              <w:t xml:space="preserve"> Муниципальный округ </w:t>
            </w:r>
            <w:r w:rsidRPr="006D21FD">
              <w:t>Каракулинский район</w:t>
            </w:r>
            <w:r w:rsidR="002B68B1">
              <w:t xml:space="preserve"> Удмуртской Республики</w:t>
            </w:r>
            <w:r w:rsidRPr="006D21F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3B5089" w:rsidP="0059251C">
            <w:pPr>
              <w:jc w:val="center"/>
            </w:pPr>
            <w:r>
              <w:t>+</w:t>
            </w:r>
            <w:r w:rsidR="0059251C">
              <w:t>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9E3869">
        <w:trPr>
          <w:trHeight w:hRule="exact"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</w:t>
            </w:r>
            <w:r w:rsidR="001444AE">
              <w:t>,</w:t>
            </w:r>
            <w:r>
              <w:t xml:space="preserve"> </w:t>
            </w:r>
            <w:r w:rsidR="001444AE">
              <w:t xml:space="preserve">физической культуры и спорта </w:t>
            </w:r>
            <w:r>
              <w:t>администрации муниципального образования «</w:t>
            </w:r>
            <w:r w:rsidR="002B68B1" w:rsidRPr="006D21FD">
              <w:t>"</w:t>
            </w:r>
            <w:r w:rsidR="002B68B1">
              <w:t xml:space="preserve"> Муниципальный округ </w:t>
            </w:r>
            <w:r w:rsidR="002B68B1" w:rsidRPr="006D21FD">
              <w:t>Каракулинский район</w:t>
            </w:r>
            <w:r w:rsidR="002B68B1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59251C">
            <w:pPr>
              <w:jc w:val="center"/>
            </w:pPr>
            <w:r>
              <w:t>+</w:t>
            </w:r>
            <w:r w:rsidR="0059251C">
              <w:t>6985,4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47446A" w:rsidP="003141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2B1FD1" w:rsidRDefault="0047446A" w:rsidP="00314141"/>
        </w:tc>
      </w:tr>
      <w:tr w:rsidR="0047446A" w:rsidRPr="009114AD" w:rsidTr="009E3869">
        <w:trPr>
          <w:trHeight w:hRule="exact"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</w:t>
            </w:r>
            <w:r w:rsidR="002B68B1">
              <w:t xml:space="preserve"> Муниципальный округ </w:t>
            </w:r>
            <w:r>
              <w:t>Каракулинский район</w:t>
            </w:r>
            <w:r w:rsidR="001444AE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5D5F65" w:rsidP="0059251C">
            <w:pPr>
              <w:jc w:val="center"/>
            </w:pPr>
            <w:r>
              <w:t>+</w:t>
            </w:r>
            <w:r w:rsidR="0059251C">
              <w:t>14012,1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AF6D68" w:rsidP="00525698">
            <w:r>
              <w:t>+1208,7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9114AD" w:rsidRDefault="00AF6D68" w:rsidP="00314141">
            <w:r>
              <w:t>+704,5</w:t>
            </w:r>
          </w:p>
        </w:tc>
      </w:tr>
      <w:tr w:rsidR="00135FFF" w:rsidRPr="005409A9" w:rsidTr="009E3869">
        <w:trPr>
          <w:trHeight w:hRule="exact"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2B68B1">
            <w:r>
              <w:t>Управление финансов администрации муниципального образования «Муниципальный  округ Каракулинский район Удмуртской Республики»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9E3869" w:rsidP="0059251C">
            <w:pPr>
              <w:jc w:val="center"/>
            </w:pPr>
            <w:r>
              <w:t>-</w:t>
            </w:r>
            <w:r w:rsidR="0059251C">
              <w:t>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FF" w:rsidRPr="00975048" w:rsidRDefault="0059251C" w:rsidP="00525698">
            <w:r>
              <w:t>-78,0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FFF" w:rsidRPr="009114AD" w:rsidRDefault="00135FFF" w:rsidP="00314141"/>
        </w:tc>
      </w:tr>
      <w:tr w:rsidR="0059251C" w:rsidRPr="007839AD" w:rsidTr="006E0A1E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7839AD" w:rsidRDefault="0059251C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C72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C72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51C" w:rsidRPr="00F80FEA" w:rsidRDefault="0059251C" w:rsidP="00AF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+704,5</w:t>
            </w:r>
          </w:p>
        </w:tc>
      </w:tr>
      <w:bookmarkEnd w:id="0"/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9867CF" w:rsidRDefault="009867CF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Pr="00533645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495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0903BB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0903BB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</w:t>
            </w:r>
            <w:r w:rsidRPr="00C015B9">
              <w:t>Развитие образования</w:t>
            </w:r>
            <w:r w:rsidRPr="00780553">
              <w:t xml:space="preserve"> и воспитания»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AF6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F6D68">
              <w:rPr>
                <w:color w:val="000000"/>
              </w:rPr>
              <w:t>10134,6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A86750">
            <w:pPr>
              <w:jc w:val="center"/>
              <w:rPr>
                <w:color w:val="000000"/>
              </w:rPr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AF6D68" w:rsidP="00C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+233,1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</w:p>
        </w:tc>
      </w:tr>
      <w:tr w:rsidR="00FF595E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AF6D68" w:rsidP="00314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+3713,5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1C64C2" w:rsidP="0035411D">
            <w:pPr>
              <w:jc w:val="center"/>
            </w:pPr>
            <w:r>
              <w:t>+</w:t>
            </w:r>
            <w:r w:rsidR="00AF6D68">
              <w:t>10,6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216B48">
            <w:pPr>
              <w:jc w:val="center"/>
            </w:pPr>
          </w:p>
        </w:tc>
      </w:tr>
      <w:tr w:rsidR="00C015B9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5B9" w:rsidRPr="00780553" w:rsidRDefault="00C015B9" w:rsidP="00F1031F">
            <w:r w:rsidRPr="00C015B9"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Pr="00780553" w:rsidRDefault="00C015B9" w:rsidP="00FE7869">
            <w:pPr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Default="00C015B9" w:rsidP="0035411D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216B48">
            <w:pPr>
              <w:jc w:val="center"/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AF6D68" w:rsidP="00885263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AF6D68" w:rsidP="0088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AF6D68" w:rsidP="00AF6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AF6D68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+704,5</w:t>
            </w:r>
          </w:p>
        </w:tc>
      </w:tr>
      <w:tr w:rsidR="0047446A" w:rsidRPr="009A1F7E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AF6D68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885263" w:rsidP="001C6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64C2">
              <w:rPr>
                <w:color w:val="000000"/>
              </w:rPr>
              <w:t>3780,4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AF6D68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+453,9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1C64C2" w:rsidP="00314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-855,8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1C64C2" w:rsidP="0082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825174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25174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85263" w:rsidP="001C6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64C2">
              <w:rPr>
                <w:color w:val="000000"/>
              </w:rPr>
              <w:t>37,0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Default="0073613A" w:rsidP="00AF3C82">
            <w:r w:rsidRPr="0073613A">
              <w:t>Муниципальная программа "Информатизация в органах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1C64C2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Pr="0073613A" w:rsidRDefault="0073613A" w:rsidP="00AF3C82">
            <w:r w:rsidRPr="0073613A">
              <w:t>Муниципальная программа "Формирование современной городской среды муниципального образования "Каракулинское"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1C64C2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885263" w:rsidP="001C6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C64C2">
              <w:rPr>
                <w:color w:val="000000"/>
              </w:rPr>
              <w:t>6646,3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1C64C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59251C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51C" w:rsidRPr="00780553" w:rsidRDefault="0059251C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51C" w:rsidRPr="00780553" w:rsidRDefault="0059251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C72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+20767,4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C72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+1130,7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51C" w:rsidRPr="00F80FEA" w:rsidRDefault="0059251C" w:rsidP="00C729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+704,50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6784A">
        <w:rPr>
          <w:sz w:val="26"/>
          <w:szCs w:val="26"/>
        </w:rPr>
        <w:t>Из</w:t>
      </w:r>
      <w:r w:rsidRPr="00051E62">
        <w:rPr>
          <w:sz w:val="26"/>
          <w:szCs w:val="26"/>
        </w:rPr>
        <w:t xml:space="preserve"> приведенного</w:t>
      </w:r>
      <w:r w:rsidRPr="00C07629">
        <w:rPr>
          <w:sz w:val="26"/>
          <w:szCs w:val="26"/>
        </w:rPr>
        <w:t xml:space="preserve">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>образования,</w:t>
      </w:r>
      <w:r w:rsidR="00816CF9">
        <w:rPr>
          <w:sz w:val="26"/>
          <w:szCs w:val="26"/>
        </w:rPr>
        <w:t xml:space="preserve"> </w:t>
      </w:r>
      <w:r w:rsidR="0008418E">
        <w:rPr>
          <w:bCs/>
          <w:sz w:val="26"/>
          <w:szCs w:val="26"/>
        </w:rPr>
        <w:t xml:space="preserve">культура и кинематография, </w:t>
      </w:r>
      <w:r w:rsidR="00A126FC">
        <w:rPr>
          <w:sz w:val="26"/>
          <w:szCs w:val="26"/>
        </w:rPr>
        <w:t>общегосударственные вопросы</w:t>
      </w:r>
      <w:r w:rsidR="0076784A">
        <w:rPr>
          <w:bCs/>
          <w:sz w:val="26"/>
          <w:szCs w:val="26"/>
        </w:rPr>
        <w:t xml:space="preserve">, </w:t>
      </w:r>
      <w:r w:rsidR="00EE5E3A">
        <w:rPr>
          <w:bCs/>
          <w:sz w:val="26"/>
          <w:szCs w:val="26"/>
        </w:rPr>
        <w:t>национальная экономика, социальная политика, национальная оборона, национальная безопасность и правоохранительная деятельность</w:t>
      </w:r>
      <w:r w:rsidR="0008418E">
        <w:rPr>
          <w:bCs/>
          <w:sz w:val="26"/>
          <w:szCs w:val="26"/>
        </w:rPr>
        <w:t>.</w:t>
      </w:r>
      <w:r w:rsidR="0076784A">
        <w:rPr>
          <w:bCs/>
          <w:sz w:val="26"/>
          <w:szCs w:val="26"/>
        </w:rPr>
        <w:t xml:space="preserve"> Уменьшению в проекте Решения подвергнуты расходы </w:t>
      </w:r>
      <w:r w:rsidR="00C91E5B">
        <w:rPr>
          <w:bCs/>
          <w:sz w:val="26"/>
          <w:szCs w:val="26"/>
        </w:rPr>
        <w:t xml:space="preserve">в </w:t>
      </w:r>
      <w:r w:rsidR="00C91E5B">
        <w:rPr>
          <w:sz w:val="26"/>
          <w:szCs w:val="26"/>
        </w:rPr>
        <w:t>ж</w:t>
      </w:r>
      <w:r w:rsidR="00C91E5B" w:rsidRPr="00587EBE">
        <w:rPr>
          <w:bCs/>
          <w:sz w:val="26"/>
          <w:szCs w:val="26"/>
        </w:rPr>
        <w:t>илищно-коммунальное хозяйство</w:t>
      </w:r>
      <w:r w:rsidR="00C91E5B">
        <w:rPr>
          <w:bCs/>
          <w:sz w:val="26"/>
          <w:szCs w:val="26"/>
        </w:rPr>
        <w:t xml:space="preserve"> </w:t>
      </w:r>
      <w:r w:rsidR="00A126FC">
        <w:rPr>
          <w:bCs/>
          <w:sz w:val="26"/>
          <w:szCs w:val="26"/>
        </w:rPr>
        <w:t>и обслуживание государственного и муниципального долга.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>
        <w:rPr>
          <w:sz w:val="26"/>
          <w:szCs w:val="26"/>
        </w:rPr>
        <w:t xml:space="preserve">» предусмотрено по </w:t>
      </w:r>
      <w:r w:rsidR="00C91E5B">
        <w:rPr>
          <w:sz w:val="26"/>
          <w:szCs w:val="26"/>
        </w:rPr>
        <w:t>де</w:t>
      </w:r>
      <w:r w:rsidR="00EE5E3A">
        <w:rPr>
          <w:sz w:val="26"/>
          <w:szCs w:val="26"/>
        </w:rPr>
        <w:t>сяти</w:t>
      </w:r>
      <w:r w:rsidR="00C91E5B">
        <w:rPr>
          <w:sz w:val="26"/>
          <w:szCs w:val="26"/>
        </w:rPr>
        <w:t xml:space="preserve"> </w:t>
      </w:r>
      <w:r w:rsidR="00473C61">
        <w:rPr>
          <w:sz w:val="26"/>
          <w:szCs w:val="26"/>
        </w:rPr>
        <w:t xml:space="preserve">разделам </w:t>
      </w:r>
      <w:r>
        <w:rPr>
          <w:sz w:val="26"/>
          <w:szCs w:val="26"/>
        </w:rPr>
        <w:t xml:space="preserve">из </w:t>
      </w:r>
      <w:r w:rsidR="00587EBE">
        <w:rPr>
          <w:sz w:val="26"/>
          <w:szCs w:val="26"/>
        </w:rPr>
        <w:t>шестнадцати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EE5E3A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lastRenderedPageBreak/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C91E5B">
        <w:rPr>
          <w:sz w:val="26"/>
          <w:szCs w:val="26"/>
        </w:rPr>
        <w:t>де</w:t>
      </w:r>
      <w:r w:rsidR="00EE5E3A">
        <w:rPr>
          <w:sz w:val="26"/>
          <w:szCs w:val="26"/>
        </w:rPr>
        <w:t>сяти</w:t>
      </w:r>
      <w:r w:rsidR="008614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программам </w:t>
      </w:r>
      <w:r w:rsidR="0043550F">
        <w:rPr>
          <w:sz w:val="26"/>
          <w:szCs w:val="26"/>
        </w:rPr>
        <w:t xml:space="preserve">МП </w:t>
      </w:r>
      <w:r w:rsidR="006A36A3" w:rsidRPr="006A36A3">
        <w:rPr>
          <w:sz w:val="26"/>
          <w:szCs w:val="26"/>
        </w:rPr>
        <w:t>«Развитие образования и воспитания</w:t>
      </w:r>
      <w:r w:rsidR="00A126FC">
        <w:rPr>
          <w:sz w:val="26"/>
          <w:szCs w:val="26"/>
        </w:rPr>
        <w:t>,</w:t>
      </w:r>
      <w:r w:rsidR="00EE5E3A">
        <w:rPr>
          <w:sz w:val="26"/>
          <w:szCs w:val="26"/>
        </w:rPr>
        <w:t xml:space="preserve"> МП «Формирование здорового образа жизни»</w:t>
      </w:r>
      <w:r w:rsidR="00A126FC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43550F" w:rsidRPr="006A36A3">
        <w:rPr>
          <w:sz w:val="26"/>
          <w:szCs w:val="26"/>
        </w:rPr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EE5E3A" w:rsidRPr="00EE5E3A">
        <w:rPr>
          <w:sz w:val="26"/>
          <w:szCs w:val="26"/>
        </w:rPr>
        <w:t>МП «Социальная поддержка населения»</w:t>
      </w:r>
      <w:r w:rsidR="00EE5E3A">
        <w:rPr>
          <w:sz w:val="26"/>
          <w:szCs w:val="26"/>
        </w:rPr>
        <w:t xml:space="preserve">, </w:t>
      </w:r>
      <w:r w:rsidR="0043550F">
        <w:rPr>
          <w:sz w:val="26"/>
          <w:szCs w:val="26"/>
        </w:rPr>
        <w:t>МП</w:t>
      </w:r>
      <w:r w:rsidR="00A126FC">
        <w:rPr>
          <w:sz w:val="26"/>
          <w:szCs w:val="26"/>
        </w:rPr>
        <w:t xml:space="preserve"> «Безопасность»,</w:t>
      </w:r>
      <w:r w:rsidR="000640EE" w:rsidRPr="000640EE">
        <w:t xml:space="preserve"> </w:t>
      </w:r>
      <w:r w:rsidR="00A126FC">
        <w:rPr>
          <w:sz w:val="26"/>
          <w:szCs w:val="26"/>
        </w:rPr>
        <w:t>МП</w:t>
      </w:r>
      <w:r w:rsidR="00A126FC" w:rsidRP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96007">
        <w:rPr>
          <w:sz w:val="26"/>
          <w:szCs w:val="26"/>
        </w:rPr>
        <w:t xml:space="preserve"> МП «Энергосбережение и повышение энергетической эффективности», МО «Каракулинский район», </w:t>
      </w:r>
      <w:r w:rsidR="0043550F">
        <w:rPr>
          <w:sz w:val="26"/>
          <w:szCs w:val="26"/>
        </w:rPr>
        <w:t>МП</w:t>
      </w:r>
      <w:r w:rsidR="009867CF">
        <w:rPr>
          <w:sz w:val="26"/>
          <w:szCs w:val="26"/>
        </w:rPr>
        <w:t xml:space="preserve"> «</w:t>
      </w:r>
      <w:r w:rsidR="000640EE" w:rsidRPr="000640EE">
        <w:rPr>
          <w:sz w:val="26"/>
          <w:szCs w:val="26"/>
        </w:rPr>
        <w:t>Муниципальное управление»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 «</w:t>
      </w:r>
      <w:r w:rsidR="00A126FC">
        <w:rPr>
          <w:sz w:val="26"/>
          <w:szCs w:val="26"/>
        </w:rPr>
        <w:t xml:space="preserve">Реализация молодежной </w:t>
      </w:r>
      <w:r w:rsidR="00EF1E32">
        <w:rPr>
          <w:sz w:val="26"/>
          <w:szCs w:val="26"/>
        </w:rPr>
        <w:t>политики в муниципальной политики» и непрограммные направления деятельности.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EF1E32">
        <w:rPr>
          <w:sz w:val="26"/>
          <w:szCs w:val="26"/>
          <w:u w:val="single"/>
        </w:rPr>
        <w:t>величины</w:t>
      </w:r>
      <w:r w:rsidR="003275FC" w:rsidRPr="007A23BC">
        <w:rPr>
          <w:sz w:val="26"/>
          <w:szCs w:val="26"/>
        </w:rPr>
        <w:t xml:space="preserve"> на </w:t>
      </w:r>
      <w:r w:rsidR="006721AE">
        <w:rPr>
          <w:b/>
          <w:sz w:val="26"/>
          <w:szCs w:val="26"/>
        </w:rPr>
        <w:t>6998,2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</w:t>
      </w:r>
      <w:r w:rsidR="003275FC" w:rsidRPr="004572A5">
        <w:rPr>
          <w:b/>
          <w:sz w:val="26"/>
          <w:szCs w:val="26"/>
        </w:rPr>
        <w:t>рублей</w:t>
      </w:r>
      <w:r w:rsidR="003275FC" w:rsidRPr="007A23BC">
        <w:rPr>
          <w:sz w:val="26"/>
          <w:szCs w:val="26"/>
        </w:rPr>
        <w:t>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</w:t>
      </w:r>
      <w:r w:rsidR="001176D9">
        <w:rPr>
          <w:sz w:val="26"/>
          <w:szCs w:val="26"/>
        </w:rPr>
        <w:t xml:space="preserve"> +</w:t>
      </w:r>
      <w:r w:rsidR="006721AE">
        <w:rPr>
          <w:sz w:val="26"/>
          <w:szCs w:val="26"/>
        </w:rPr>
        <w:t>6998,2</w:t>
      </w:r>
      <w:r w:rsidR="000640E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AD2962" w:rsidRDefault="00DD4146" w:rsidP="00AD296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D2962" w:rsidRPr="00AD2962">
        <w:rPr>
          <w:i/>
          <w:sz w:val="26"/>
          <w:szCs w:val="26"/>
        </w:rPr>
        <w:t xml:space="preserve">Муниципальное управление </w:t>
      </w:r>
      <w:r w:rsidR="00AD2962" w:rsidRPr="00DC3BE5">
        <w:rPr>
          <w:i/>
          <w:sz w:val="26"/>
          <w:szCs w:val="26"/>
        </w:rPr>
        <w:t>(</w:t>
      </w:r>
      <w:r w:rsidR="00AD2962">
        <w:rPr>
          <w:i/>
          <w:sz w:val="26"/>
          <w:szCs w:val="26"/>
        </w:rPr>
        <w:t>-70,0</w:t>
      </w:r>
      <w:r w:rsidR="00AD2962" w:rsidRPr="00DC3BE5">
        <w:rPr>
          <w:i/>
          <w:sz w:val="26"/>
          <w:szCs w:val="26"/>
        </w:rPr>
        <w:t xml:space="preserve"> т</w:t>
      </w:r>
      <w:r w:rsidR="00AD2962">
        <w:rPr>
          <w:i/>
          <w:sz w:val="26"/>
          <w:szCs w:val="26"/>
        </w:rPr>
        <w:t>ыс. рублей).</w:t>
      </w:r>
      <w:r w:rsidR="00AD2962" w:rsidRPr="00DC3BE5">
        <w:rPr>
          <w:i/>
          <w:sz w:val="26"/>
          <w:szCs w:val="26"/>
        </w:rPr>
        <w:t xml:space="preserve"> </w:t>
      </w:r>
    </w:p>
    <w:p w:rsidR="00AD2962" w:rsidRDefault="00DD4146" w:rsidP="00AD296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D2962">
        <w:rPr>
          <w:i/>
          <w:sz w:val="26"/>
          <w:szCs w:val="26"/>
        </w:rPr>
        <w:t xml:space="preserve">Непрограммные направления деятельности </w:t>
      </w:r>
      <w:r w:rsidR="00AD2962" w:rsidRPr="00DC3BE5">
        <w:rPr>
          <w:i/>
          <w:sz w:val="26"/>
          <w:szCs w:val="26"/>
        </w:rPr>
        <w:t>(+</w:t>
      </w:r>
      <w:r w:rsidR="00AD2962">
        <w:rPr>
          <w:i/>
          <w:sz w:val="26"/>
          <w:szCs w:val="26"/>
        </w:rPr>
        <w:t>14,0</w:t>
      </w:r>
      <w:r w:rsidR="00AD2962" w:rsidRPr="00DC3BE5">
        <w:rPr>
          <w:i/>
          <w:sz w:val="26"/>
          <w:szCs w:val="26"/>
        </w:rPr>
        <w:t xml:space="preserve"> т</w:t>
      </w:r>
      <w:r w:rsidR="00AD2962">
        <w:rPr>
          <w:i/>
          <w:sz w:val="26"/>
          <w:szCs w:val="26"/>
        </w:rPr>
        <w:t>ыс. рублей);</w:t>
      </w:r>
      <w:r w:rsidR="00AD2962" w:rsidRPr="00DC3BE5">
        <w:rPr>
          <w:i/>
          <w:sz w:val="26"/>
          <w:szCs w:val="26"/>
        </w:rPr>
        <w:t xml:space="preserve"> </w:t>
      </w:r>
    </w:p>
    <w:p w:rsidR="009D1D23" w:rsidRDefault="00DD4146" w:rsidP="003275F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F1E32" w:rsidRPr="00EF1E32">
        <w:rPr>
          <w:i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275FC" w:rsidRPr="00DC3BE5">
        <w:rPr>
          <w:i/>
          <w:sz w:val="26"/>
          <w:szCs w:val="26"/>
        </w:rPr>
        <w:t>» (</w:t>
      </w:r>
      <w:r w:rsidR="000640EE" w:rsidRPr="00DC3BE5">
        <w:rPr>
          <w:i/>
          <w:sz w:val="26"/>
          <w:szCs w:val="26"/>
        </w:rPr>
        <w:t>+</w:t>
      </w:r>
      <w:r w:rsidR="00AD2962">
        <w:rPr>
          <w:i/>
          <w:sz w:val="26"/>
          <w:szCs w:val="26"/>
        </w:rPr>
        <w:t>1112,2</w:t>
      </w:r>
      <w:r w:rsidR="003275FC" w:rsidRPr="00DC3BE5">
        <w:rPr>
          <w:i/>
          <w:sz w:val="26"/>
          <w:szCs w:val="26"/>
        </w:rPr>
        <w:t xml:space="preserve"> т</w:t>
      </w:r>
      <w:r w:rsidR="00EF1E32">
        <w:rPr>
          <w:i/>
          <w:sz w:val="26"/>
          <w:szCs w:val="26"/>
        </w:rPr>
        <w:t>ыс. рублей</w:t>
      </w:r>
      <w:r w:rsidR="00AD2962">
        <w:rPr>
          <w:i/>
          <w:sz w:val="26"/>
          <w:szCs w:val="26"/>
        </w:rPr>
        <w:t>);</w:t>
      </w:r>
      <w:r w:rsidR="003275FC" w:rsidRPr="00DC3BE5">
        <w:rPr>
          <w:i/>
          <w:sz w:val="26"/>
          <w:szCs w:val="26"/>
        </w:rPr>
        <w:t xml:space="preserve"> </w:t>
      </w:r>
    </w:p>
    <w:p w:rsidR="00AD2962" w:rsidRPr="00AD2962" w:rsidRDefault="00DD4146" w:rsidP="003275F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D2962" w:rsidRPr="00AD2962">
        <w:rPr>
          <w:i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AD2962">
        <w:rPr>
          <w:i/>
          <w:sz w:val="26"/>
          <w:szCs w:val="26"/>
        </w:rPr>
        <w:t xml:space="preserve"> (+505,2</w:t>
      </w:r>
      <w:r w:rsidR="00AD2962" w:rsidRPr="00DC3BE5">
        <w:rPr>
          <w:i/>
          <w:sz w:val="26"/>
          <w:szCs w:val="26"/>
        </w:rPr>
        <w:t xml:space="preserve"> т</w:t>
      </w:r>
      <w:r w:rsidR="00AD2962">
        <w:rPr>
          <w:i/>
          <w:sz w:val="26"/>
          <w:szCs w:val="26"/>
        </w:rPr>
        <w:t>ыс. рублей);</w:t>
      </w:r>
    </w:p>
    <w:p w:rsidR="003275FC" w:rsidRPr="005539CA" w:rsidRDefault="00DD4146" w:rsidP="003275F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Д</w:t>
      </w:r>
      <w:r w:rsidR="002B28CB" w:rsidRPr="002B28CB">
        <w:rPr>
          <w:i/>
          <w:sz w:val="26"/>
          <w:szCs w:val="26"/>
        </w:rPr>
        <w:t>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="001176D9">
        <w:rPr>
          <w:sz w:val="26"/>
          <w:szCs w:val="26"/>
        </w:rPr>
        <w:t>(</w:t>
      </w:r>
      <w:r w:rsidR="00EF1E32">
        <w:rPr>
          <w:sz w:val="26"/>
          <w:szCs w:val="26"/>
        </w:rPr>
        <w:t>+</w:t>
      </w:r>
      <w:r w:rsidR="00AD2962">
        <w:rPr>
          <w:sz w:val="26"/>
          <w:szCs w:val="26"/>
        </w:rPr>
        <w:t>5436,8</w:t>
      </w:r>
      <w:r w:rsidR="003275FC" w:rsidRPr="002B28CB">
        <w:rPr>
          <w:i/>
          <w:sz w:val="26"/>
          <w:szCs w:val="26"/>
        </w:rPr>
        <w:t xml:space="preserve"> тыс. рублей</w:t>
      </w:r>
      <w:r w:rsidR="00AD2962">
        <w:rPr>
          <w:sz w:val="26"/>
          <w:szCs w:val="26"/>
        </w:rPr>
        <w:t>)</w:t>
      </w:r>
      <w:r w:rsidR="005539CA">
        <w:rPr>
          <w:sz w:val="26"/>
          <w:szCs w:val="26"/>
        </w:rPr>
        <w:t xml:space="preserve"> </w:t>
      </w:r>
      <w:r w:rsidR="005539CA" w:rsidRPr="005539CA">
        <w:rPr>
          <w:i/>
          <w:sz w:val="26"/>
          <w:szCs w:val="26"/>
        </w:rPr>
        <w:t xml:space="preserve">и на 2023 год </w:t>
      </w:r>
      <w:r w:rsidR="005539CA">
        <w:rPr>
          <w:i/>
          <w:sz w:val="26"/>
          <w:szCs w:val="26"/>
        </w:rPr>
        <w:t>(</w:t>
      </w:r>
      <w:r w:rsidR="005539CA" w:rsidRPr="005539CA">
        <w:rPr>
          <w:i/>
          <w:sz w:val="26"/>
          <w:szCs w:val="26"/>
        </w:rPr>
        <w:t>+453,9</w:t>
      </w:r>
      <w:r w:rsidR="005539CA">
        <w:rPr>
          <w:i/>
          <w:sz w:val="26"/>
          <w:szCs w:val="26"/>
        </w:rPr>
        <w:t xml:space="preserve"> </w:t>
      </w:r>
      <w:r w:rsidR="005539CA" w:rsidRPr="005539CA">
        <w:rPr>
          <w:i/>
          <w:sz w:val="26"/>
          <w:szCs w:val="26"/>
        </w:rPr>
        <w:t>тыс. рублей</w:t>
      </w:r>
      <w:r w:rsidR="005539CA">
        <w:rPr>
          <w:i/>
          <w:sz w:val="26"/>
          <w:szCs w:val="26"/>
        </w:rPr>
        <w:t>).</w:t>
      </w:r>
    </w:p>
    <w:p w:rsidR="006721AE" w:rsidRDefault="00A00F7B" w:rsidP="006721AE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A00F7B">
        <w:rPr>
          <w:b/>
          <w:sz w:val="26"/>
          <w:szCs w:val="26"/>
          <w:u w:val="single"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</w:t>
      </w:r>
      <w:r>
        <w:rPr>
          <w:b/>
          <w:sz w:val="26"/>
          <w:szCs w:val="26"/>
          <w:u w:val="single"/>
        </w:rPr>
        <w:t xml:space="preserve"> оборона (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раздел 0200) </w:t>
      </w:r>
      <w:r w:rsidR="006721AE">
        <w:rPr>
          <w:sz w:val="26"/>
          <w:szCs w:val="26"/>
        </w:rPr>
        <w:t>(+113,0</w:t>
      </w:r>
      <w:r w:rsidR="006721AE" w:rsidRPr="002B28CB">
        <w:rPr>
          <w:i/>
          <w:sz w:val="26"/>
          <w:szCs w:val="26"/>
        </w:rPr>
        <w:t xml:space="preserve"> тыс. рублей</w:t>
      </w:r>
      <w:r w:rsidR="006721AE" w:rsidRPr="006859C3">
        <w:rPr>
          <w:sz w:val="26"/>
          <w:szCs w:val="26"/>
        </w:rPr>
        <w:t>)</w:t>
      </w:r>
      <w:r w:rsidR="00AD2962">
        <w:rPr>
          <w:sz w:val="26"/>
          <w:szCs w:val="26"/>
        </w:rPr>
        <w:t>.</w:t>
      </w:r>
    </w:p>
    <w:p w:rsidR="001176D9" w:rsidRPr="001176D9" w:rsidRDefault="00A00F7B" w:rsidP="001176D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B28CB" w:rsidRPr="002B28CB">
        <w:rPr>
          <w:b/>
          <w:sz w:val="26"/>
          <w:szCs w:val="26"/>
        </w:rPr>
        <w:t>.</w:t>
      </w:r>
      <w:r w:rsidR="002B28CB" w:rsidRPr="002B28CB">
        <w:rPr>
          <w:b/>
        </w:rPr>
        <w:t xml:space="preserve"> </w:t>
      </w:r>
      <w:r w:rsidR="002B28CB"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 w:rsidR="002B28CB">
        <w:rPr>
          <w:b/>
          <w:sz w:val="26"/>
          <w:szCs w:val="26"/>
        </w:rPr>
        <w:t xml:space="preserve"> (</w:t>
      </w:r>
      <w:r w:rsidR="002B28CB">
        <w:rPr>
          <w:sz w:val="26"/>
          <w:szCs w:val="26"/>
        </w:rPr>
        <w:t xml:space="preserve">раздел 0300 </w:t>
      </w:r>
      <w:r w:rsidR="001176D9">
        <w:rPr>
          <w:sz w:val="26"/>
          <w:szCs w:val="26"/>
        </w:rPr>
        <w:t>+2976,5</w:t>
      </w:r>
      <w:r w:rsidR="002B28CB" w:rsidRPr="002B28CB">
        <w:rPr>
          <w:sz w:val="26"/>
          <w:szCs w:val="26"/>
        </w:rPr>
        <w:t>)</w:t>
      </w:r>
      <w:r w:rsidR="001176D9">
        <w:rPr>
          <w:sz w:val="26"/>
          <w:szCs w:val="26"/>
        </w:rPr>
        <w:t>, в том числе:</w:t>
      </w:r>
      <w:r w:rsidR="001176D9" w:rsidRPr="001176D9">
        <w:t xml:space="preserve"> </w:t>
      </w:r>
      <w:r w:rsidR="001176D9" w:rsidRPr="001176D9">
        <w:rPr>
          <w:sz w:val="26"/>
          <w:szCs w:val="26"/>
        </w:rPr>
        <w:t>Муниципальная программа "Безопасность"</w:t>
      </w:r>
      <w:r w:rsidR="001176D9" w:rsidRPr="00DC3BE5">
        <w:rPr>
          <w:i/>
          <w:sz w:val="26"/>
          <w:szCs w:val="26"/>
        </w:rPr>
        <w:t>(+</w:t>
      </w:r>
      <w:r w:rsidR="001176D9">
        <w:rPr>
          <w:i/>
          <w:sz w:val="26"/>
          <w:szCs w:val="26"/>
        </w:rPr>
        <w:t>2976,5</w:t>
      </w:r>
      <w:r w:rsidR="001176D9" w:rsidRPr="00DC3BE5">
        <w:rPr>
          <w:i/>
          <w:sz w:val="26"/>
          <w:szCs w:val="26"/>
        </w:rPr>
        <w:t xml:space="preserve"> т</w:t>
      </w:r>
      <w:r w:rsidR="001176D9">
        <w:rPr>
          <w:i/>
          <w:sz w:val="26"/>
          <w:szCs w:val="26"/>
        </w:rPr>
        <w:t>ыс. рублей).</w:t>
      </w:r>
    </w:p>
    <w:p w:rsidR="005539CA" w:rsidRDefault="00A00F7B" w:rsidP="005D0EED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4</w:t>
      </w:r>
      <w:r w:rsidR="00332D04" w:rsidRPr="004B52AB">
        <w:rPr>
          <w:b/>
          <w:sz w:val="26"/>
          <w:szCs w:val="26"/>
        </w:rPr>
        <w:t>.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b/>
          <w:sz w:val="26"/>
          <w:szCs w:val="26"/>
          <w:u w:val="single"/>
        </w:rPr>
        <w:t>Национальная экономика</w:t>
      </w:r>
      <w:r w:rsidR="004F7C54">
        <w:rPr>
          <w:sz w:val="26"/>
          <w:szCs w:val="26"/>
          <w:u w:val="single"/>
        </w:rPr>
        <w:t xml:space="preserve"> </w:t>
      </w:r>
      <w:r w:rsidR="004F7C54">
        <w:rPr>
          <w:sz w:val="26"/>
          <w:szCs w:val="26"/>
        </w:rPr>
        <w:t>(раздел 0400)</w:t>
      </w:r>
      <w:r w:rsidR="004572A5" w:rsidRPr="004572A5">
        <w:rPr>
          <w:sz w:val="26"/>
          <w:szCs w:val="26"/>
        </w:rPr>
        <w:t xml:space="preserve"> </w:t>
      </w:r>
      <w:r w:rsidR="004572A5" w:rsidRPr="000A2FC3">
        <w:rPr>
          <w:sz w:val="26"/>
          <w:szCs w:val="26"/>
        </w:rPr>
        <w:t xml:space="preserve">бюджетные ассигнования </w:t>
      </w:r>
      <w:r w:rsidR="004572A5" w:rsidRPr="000A2FC3">
        <w:rPr>
          <w:sz w:val="26"/>
          <w:szCs w:val="26"/>
          <w:u w:val="single"/>
        </w:rPr>
        <w:t>у</w:t>
      </w:r>
      <w:r w:rsidR="001176D9">
        <w:rPr>
          <w:sz w:val="26"/>
          <w:szCs w:val="26"/>
          <w:u w:val="single"/>
        </w:rPr>
        <w:t>величены</w:t>
      </w:r>
      <w:r w:rsidR="004572A5" w:rsidRPr="000A2FC3">
        <w:rPr>
          <w:sz w:val="26"/>
          <w:szCs w:val="26"/>
        </w:rPr>
        <w:t xml:space="preserve"> на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(</w:t>
      </w:r>
      <w:r w:rsidR="00AD2962">
        <w:rPr>
          <w:sz w:val="26"/>
          <w:szCs w:val="26"/>
        </w:rPr>
        <w:t>7,8</w:t>
      </w:r>
      <w:r w:rsidR="00473B09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тыс</w:t>
      </w:r>
      <w:r w:rsidR="004F7C54">
        <w:rPr>
          <w:sz w:val="26"/>
          <w:szCs w:val="26"/>
        </w:rPr>
        <w:t>. рублей), в том числе:</w:t>
      </w:r>
      <w:r w:rsidR="001176D9">
        <w:rPr>
          <w:sz w:val="26"/>
          <w:szCs w:val="26"/>
        </w:rPr>
        <w:t xml:space="preserve"> </w:t>
      </w:r>
      <w:r w:rsidR="004F7C54" w:rsidRPr="00AD2962">
        <w:rPr>
          <w:i/>
          <w:sz w:val="26"/>
          <w:szCs w:val="26"/>
        </w:rPr>
        <w:t>По муниципальной программе «</w:t>
      </w:r>
      <w:r w:rsidR="009C6797" w:rsidRPr="00AD2962">
        <w:rPr>
          <w:i/>
          <w:sz w:val="26"/>
          <w:szCs w:val="26"/>
        </w:rPr>
        <w:t xml:space="preserve">Дорожное </w:t>
      </w:r>
      <w:r w:rsidR="004F7C54" w:rsidRPr="00AD2962">
        <w:rPr>
          <w:i/>
          <w:sz w:val="26"/>
          <w:szCs w:val="26"/>
        </w:rPr>
        <w:t>хозяйство</w:t>
      </w:r>
      <w:r w:rsidR="00286839" w:rsidRPr="00AD2962">
        <w:rPr>
          <w:i/>
          <w:sz w:val="26"/>
          <w:szCs w:val="26"/>
        </w:rPr>
        <w:t xml:space="preserve"> (дорожные фонды)</w:t>
      </w:r>
      <w:r w:rsidR="004F7C54" w:rsidRPr="00AD2962">
        <w:rPr>
          <w:i/>
          <w:sz w:val="26"/>
          <w:szCs w:val="26"/>
        </w:rPr>
        <w:t>»</w:t>
      </w:r>
      <w:r w:rsidR="00AD2962" w:rsidRPr="00AD2962">
        <w:rPr>
          <w:i/>
          <w:sz w:val="26"/>
          <w:szCs w:val="26"/>
        </w:rPr>
        <w:t xml:space="preserve"> (-9,6</w:t>
      </w:r>
      <w:r w:rsidR="004F7C54" w:rsidRPr="00AD2962">
        <w:rPr>
          <w:i/>
          <w:sz w:val="26"/>
          <w:szCs w:val="26"/>
        </w:rPr>
        <w:t xml:space="preserve"> тыс. рублей</w:t>
      </w:r>
      <w:r w:rsidR="005539CA">
        <w:rPr>
          <w:i/>
          <w:sz w:val="26"/>
          <w:szCs w:val="26"/>
        </w:rPr>
        <w:t>, на 2023 +734,8</w:t>
      </w:r>
      <w:r w:rsidR="005539CA" w:rsidRPr="005539CA">
        <w:rPr>
          <w:i/>
          <w:sz w:val="26"/>
          <w:szCs w:val="26"/>
        </w:rPr>
        <w:t xml:space="preserve"> </w:t>
      </w:r>
      <w:r w:rsidR="005539CA" w:rsidRPr="00AD2962">
        <w:rPr>
          <w:i/>
          <w:sz w:val="26"/>
          <w:szCs w:val="26"/>
        </w:rPr>
        <w:t>тыс. рублей</w:t>
      </w:r>
      <w:r w:rsidR="005539CA">
        <w:rPr>
          <w:i/>
          <w:sz w:val="26"/>
          <w:szCs w:val="26"/>
        </w:rPr>
        <w:t xml:space="preserve"> на 2024 год 704,5</w:t>
      </w:r>
      <w:r w:rsidR="005539CA" w:rsidRPr="005539CA">
        <w:rPr>
          <w:i/>
          <w:sz w:val="26"/>
          <w:szCs w:val="26"/>
        </w:rPr>
        <w:t xml:space="preserve"> </w:t>
      </w:r>
      <w:r w:rsidR="005539CA" w:rsidRPr="00AD2962">
        <w:rPr>
          <w:i/>
          <w:sz w:val="26"/>
          <w:szCs w:val="26"/>
        </w:rPr>
        <w:t>тыс. рублей</w:t>
      </w:r>
      <w:r w:rsidR="004F7C54" w:rsidRPr="00AD2962">
        <w:rPr>
          <w:i/>
          <w:sz w:val="26"/>
          <w:szCs w:val="26"/>
        </w:rPr>
        <w:t>)</w:t>
      </w:r>
      <w:r w:rsidR="00AD2962" w:rsidRPr="00AD2962">
        <w:rPr>
          <w:i/>
          <w:sz w:val="26"/>
          <w:szCs w:val="26"/>
        </w:rPr>
        <w:t xml:space="preserve"> и МП</w:t>
      </w:r>
      <w:r w:rsidR="005539CA">
        <w:rPr>
          <w:i/>
          <w:sz w:val="26"/>
          <w:szCs w:val="26"/>
        </w:rPr>
        <w:t xml:space="preserve"> </w:t>
      </w:r>
      <w:r w:rsidR="00AD2962" w:rsidRPr="00AD2962">
        <w:rPr>
          <w:i/>
          <w:sz w:val="26"/>
          <w:szCs w:val="26"/>
        </w:rPr>
        <w:t>"Энергосбережение и повышение энергетической эффективности муниципального образования "Каракулинский район</w:t>
      </w:r>
      <w:r w:rsidR="005539CA">
        <w:rPr>
          <w:i/>
          <w:sz w:val="26"/>
          <w:szCs w:val="26"/>
        </w:rPr>
        <w:t xml:space="preserve">» </w:t>
      </w:r>
      <w:r w:rsidR="00AD2962" w:rsidRPr="00AD2962">
        <w:rPr>
          <w:i/>
          <w:sz w:val="26"/>
          <w:szCs w:val="26"/>
        </w:rPr>
        <w:t>(</w:t>
      </w:r>
      <w:r w:rsidR="00AD2962">
        <w:rPr>
          <w:i/>
          <w:sz w:val="26"/>
          <w:szCs w:val="26"/>
        </w:rPr>
        <w:t>+17,4</w:t>
      </w:r>
      <w:r w:rsidR="00AD2962" w:rsidRPr="00AD2962">
        <w:rPr>
          <w:i/>
          <w:sz w:val="26"/>
          <w:szCs w:val="26"/>
        </w:rPr>
        <w:t xml:space="preserve"> тыс. рублей)</w:t>
      </w:r>
      <w:r w:rsidR="005539CA">
        <w:rPr>
          <w:i/>
          <w:sz w:val="26"/>
          <w:szCs w:val="26"/>
        </w:rPr>
        <w:t>.</w:t>
      </w:r>
    </w:p>
    <w:p w:rsidR="003138C6" w:rsidRPr="00AD2962" w:rsidRDefault="005539CA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В 2023году МП </w:t>
      </w:r>
      <w:r w:rsidR="00DD4146">
        <w:rPr>
          <w:i/>
          <w:sz w:val="26"/>
          <w:szCs w:val="26"/>
        </w:rPr>
        <w:t>«С</w:t>
      </w:r>
      <w:r>
        <w:rPr>
          <w:i/>
          <w:sz w:val="26"/>
          <w:szCs w:val="26"/>
        </w:rPr>
        <w:t>ельское хозяйство и рыболовство увеличение на (20,0</w:t>
      </w:r>
      <w:r w:rsidRPr="005539CA">
        <w:rPr>
          <w:i/>
          <w:sz w:val="26"/>
          <w:szCs w:val="26"/>
        </w:rPr>
        <w:t xml:space="preserve"> </w:t>
      </w:r>
      <w:r w:rsidRPr="00AD2962">
        <w:rPr>
          <w:i/>
          <w:sz w:val="26"/>
          <w:szCs w:val="26"/>
        </w:rPr>
        <w:t>тыс. рублей</w:t>
      </w:r>
      <w:r>
        <w:rPr>
          <w:i/>
          <w:sz w:val="26"/>
          <w:szCs w:val="26"/>
        </w:rPr>
        <w:t>).</w:t>
      </w:r>
    </w:p>
    <w:p w:rsidR="005D0EED" w:rsidRDefault="00A00F7B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5D0EED" w:rsidRPr="00CB3979">
        <w:rPr>
          <w:i/>
          <w:sz w:val="26"/>
          <w:szCs w:val="26"/>
        </w:rPr>
        <w:t>.</w:t>
      </w:r>
      <w:r w:rsidR="005D0EED" w:rsidRPr="00CB3979">
        <w:rPr>
          <w:b/>
          <w:bCs/>
        </w:rPr>
        <w:t xml:space="preserve"> </w:t>
      </w:r>
      <w:r w:rsidR="005D0EED" w:rsidRPr="00CB3979">
        <w:rPr>
          <w:b/>
          <w:bCs/>
          <w:sz w:val="26"/>
          <w:szCs w:val="26"/>
          <w:u w:val="single"/>
        </w:rPr>
        <w:t>Жилищно</w:t>
      </w:r>
      <w:r w:rsidR="005D0EED" w:rsidRPr="00340C2D">
        <w:rPr>
          <w:b/>
          <w:bCs/>
          <w:sz w:val="26"/>
          <w:szCs w:val="26"/>
          <w:u w:val="single"/>
        </w:rPr>
        <w:t>-коммунальное хозяйство</w:t>
      </w:r>
      <w:r w:rsidR="005D0EED">
        <w:rPr>
          <w:b/>
          <w:bCs/>
          <w:sz w:val="26"/>
          <w:szCs w:val="26"/>
        </w:rPr>
        <w:t xml:space="preserve"> </w:t>
      </w:r>
      <w:r w:rsidR="005D0EED" w:rsidRPr="005D0EED">
        <w:rPr>
          <w:i/>
          <w:sz w:val="26"/>
          <w:szCs w:val="26"/>
        </w:rPr>
        <w:t xml:space="preserve">(раздел </w:t>
      </w:r>
      <w:r w:rsidR="001F4E50">
        <w:rPr>
          <w:i/>
          <w:sz w:val="26"/>
          <w:szCs w:val="26"/>
        </w:rPr>
        <w:t>0</w:t>
      </w:r>
      <w:r w:rsidR="005D0EED" w:rsidRPr="005D0EED">
        <w:rPr>
          <w:i/>
          <w:sz w:val="26"/>
          <w:szCs w:val="26"/>
        </w:rPr>
        <w:t>500)</w:t>
      </w:r>
      <w:r w:rsidR="00FC4AAF">
        <w:rPr>
          <w:i/>
          <w:sz w:val="26"/>
          <w:szCs w:val="26"/>
        </w:rPr>
        <w:t xml:space="preserve"> </w:t>
      </w:r>
      <w:r w:rsidR="005539CA" w:rsidRPr="000A2FC3">
        <w:rPr>
          <w:sz w:val="26"/>
          <w:szCs w:val="26"/>
        </w:rPr>
        <w:t xml:space="preserve">бюджетные ассигнования </w:t>
      </w:r>
      <w:r w:rsidR="005539CA" w:rsidRPr="005539CA">
        <w:rPr>
          <w:sz w:val="26"/>
          <w:szCs w:val="26"/>
        </w:rPr>
        <w:t>уменьшен</w:t>
      </w:r>
      <w:r w:rsidR="005539CA">
        <w:rPr>
          <w:sz w:val="26"/>
          <w:szCs w:val="26"/>
        </w:rPr>
        <w:t>ы</w:t>
      </w:r>
      <w:r w:rsidR="005539CA">
        <w:rPr>
          <w:i/>
          <w:sz w:val="26"/>
          <w:szCs w:val="26"/>
        </w:rPr>
        <w:t xml:space="preserve"> </w:t>
      </w:r>
      <w:r w:rsidR="005539CA" w:rsidRPr="005539CA">
        <w:rPr>
          <w:sz w:val="26"/>
          <w:szCs w:val="26"/>
        </w:rPr>
        <w:t>на 2956,3</w:t>
      </w:r>
      <w:r w:rsidR="00FC4AAF" w:rsidRPr="005539CA">
        <w:rPr>
          <w:sz w:val="26"/>
          <w:szCs w:val="26"/>
        </w:rPr>
        <w:t xml:space="preserve"> в том числе:</w:t>
      </w:r>
    </w:p>
    <w:p w:rsidR="00DD4146" w:rsidRPr="00DD4146" w:rsidRDefault="00DD4146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D4146">
        <w:rPr>
          <w:i/>
          <w:sz w:val="26"/>
          <w:szCs w:val="26"/>
        </w:rPr>
        <w:t>МП «Муниципальное хозяйство»</w:t>
      </w:r>
      <w:r>
        <w:rPr>
          <w:i/>
          <w:sz w:val="26"/>
          <w:szCs w:val="26"/>
        </w:rPr>
        <w:t xml:space="preserve"> (-3000,6</w:t>
      </w:r>
      <w:r w:rsidRPr="00DD4146">
        <w:rPr>
          <w:i/>
          <w:sz w:val="26"/>
          <w:szCs w:val="26"/>
        </w:rPr>
        <w:t xml:space="preserve"> </w:t>
      </w:r>
      <w:r w:rsidRPr="00AD2962">
        <w:rPr>
          <w:i/>
          <w:sz w:val="26"/>
          <w:szCs w:val="26"/>
        </w:rPr>
        <w:t>тыс. рублей</w:t>
      </w:r>
      <w:r>
        <w:rPr>
          <w:i/>
          <w:sz w:val="26"/>
          <w:szCs w:val="26"/>
        </w:rPr>
        <w:t>;</w:t>
      </w:r>
    </w:p>
    <w:p w:rsidR="00DA26E4" w:rsidRDefault="00DD4146" w:rsidP="00DA26E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A26E4">
        <w:rPr>
          <w:i/>
          <w:sz w:val="26"/>
          <w:szCs w:val="26"/>
        </w:rPr>
        <w:t>Коммунальное хозяйство</w:t>
      </w:r>
      <w:r>
        <w:rPr>
          <w:i/>
          <w:sz w:val="26"/>
          <w:szCs w:val="26"/>
        </w:rPr>
        <w:t xml:space="preserve"> </w:t>
      </w:r>
      <w:r w:rsidR="00DA26E4">
        <w:rPr>
          <w:i/>
          <w:sz w:val="26"/>
          <w:szCs w:val="26"/>
        </w:rPr>
        <w:t>(+</w:t>
      </w:r>
      <w:r w:rsidR="005539CA">
        <w:rPr>
          <w:i/>
          <w:sz w:val="26"/>
          <w:szCs w:val="26"/>
        </w:rPr>
        <w:t>41,0</w:t>
      </w:r>
      <w:r w:rsidR="00DA26E4">
        <w:rPr>
          <w:i/>
          <w:sz w:val="26"/>
          <w:szCs w:val="26"/>
        </w:rPr>
        <w:t xml:space="preserve"> тыс. рублей);</w:t>
      </w:r>
    </w:p>
    <w:p w:rsidR="001A24A5" w:rsidRDefault="00DD4146" w:rsidP="001A24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A24A5">
        <w:rPr>
          <w:i/>
          <w:sz w:val="26"/>
          <w:szCs w:val="26"/>
        </w:rPr>
        <w:t>Благоустройство</w:t>
      </w:r>
      <w:r w:rsidR="001176D9">
        <w:rPr>
          <w:i/>
          <w:sz w:val="26"/>
          <w:szCs w:val="26"/>
        </w:rPr>
        <w:t xml:space="preserve"> на 2022год</w:t>
      </w:r>
      <w:r w:rsidR="001A24A5">
        <w:rPr>
          <w:i/>
          <w:sz w:val="26"/>
          <w:szCs w:val="26"/>
        </w:rPr>
        <w:t xml:space="preserve"> </w:t>
      </w:r>
      <w:r w:rsidR="00B81343">
        <w:rPr>
          <w:i/>
          <w:sz w:val="26"/>
          <w:szCs w:val="26"/>
        </w:rPr>
        <w:t>(</w:t>
      </w:r>
      <w:r w:rsidR="005539CA">
        <w:rPr>
          <w:i/>
          <w:sz w:val="26"/>
          <w:szCs w:val="26"/>
        </w:rPr>
        <w:t>-6,7</w:t>
      </w:r>
      <w:r w:rsidR="001A24A5">
        <w:rPr>
          <w:i/>
          <w:sz w:val="26"/>
          <w:szCs w:val="26"/>
        </w:rPr>
        <w:t xml:space="preserve"> тыс. рублей);</w:t>
      </w:r>
    </w:p>
    <w:p w:rsidR="00DD4146" w:rsidRDefault="00DD4146" w:rsidP="00DD414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Организация и осуществление муниципального жилищного фонда (+41,0 тыс. рублей);</w:t>
      </w:r>
    </w:p>
    <w:p w:rsidR="00CB3979" w:rsidRDefault="00A00F7B" w:rsidP="00340C2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340C2D" w:rsidRPr="00340C2D">
        <w:rPr>
          <w:b/>
          <w:i/>
          <w:sz w:val="26"/>
          <w:szCs w:val="26"/>
        </w:rPr>
        <w:t>.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b/>
          <w:i/>
          <w:sz w:val="26"/>
          <w:szCs w:val="26"/>
          <w:u w:val="single"/>
        </w:rPr>
        <w:t>Охрана окружающей среды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 xml:space="preserve">(раздел </w:t>
      </w:r>
      <w:r w:rsidR="001F4E50">
        <w:rPr>
          <w:sz w:val="26"/>
          <w:szCs w:val="26"/>
        </w:rPr>
        <w:t>0</w:t>
      </w:r>
      <w:r w:rsidR="00340C2D" w:rsidRPr="00340C2D">
        <w:rPr>
          <w:sz w:val="26"/>
          <w:szCs w:val="26"/>
        </w:rPr>
        <w:t>600) (</w:t>
      </w:r>
      <w:r w:rsidR="00B81343">
        <w:rPr>
          <w:sz w:val="26"/>
          <w:szCs w:val="26"/>
        </w:rPr>
        <w:t>0</w:t>
      </w:r>
      <w:r w:rsidR="00CE428E">
        <w:rPr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>тыс. рублей)</w:t>
      </w:r>
      <w:r w:rsidR="00CB3979">
        <w:rPr>
          <w:sz w:val="26"/>
          <w:szCs w:val="26"/>
        </w:rPr>
        <w:t>.</w:t>
      </w:r>
    </w:p>
    <w:p w:rsidR="00340C2D" w:rsidRDefault="00A00F7B" w:rsidP="00340C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340C2D" w:rsidRPr="00340C2D">
        <w:rPr>
          <w:b/>
          <w:sz w:val="26"/>
          <w:szCs w:val="26"/>
        </w:rPr>
        <w:t>.</w:t>
      </w:r>
      <w:r w:rsidR="00340C2D" w:rsidRPr="00340C2D">
        <w:rPr>
          <w:b/>
          <w:bCs/>
          <w:sz w:val="26"/>
          <w:szCs w:val="26"/>
        </w:rPr>
        <w:t xml:space="preserve"> </w:t>
      </w:r>
      <w:r w:rsidR="00340C2D" w:rsidRPr="00340C2D">
        <w:rPr>
          <w:b/>
          <w:sz w:val="26"/>
          <w:szCs w:val="26"/>
          <w:u w:val="single"/>
        </w:rPr>
        <w:t xml:space="preserve">Образование </w:t>
      </w:r>
      <w:r w:rsidR="00340C2D" w:rsidRPr="000A2FC3">
        <w:rPr>
          <w:sz w:val="26"/>
          <w:szCs w:val="26"/>
        </w:rPr>
        <w:t>(раздел 0700)</w:t>
      </w:r>
      <w:r w:rsidR="004773F4">
        <w:rPr>
          <w:sz w:val="26"/>
          <w:szCs w:val="26"/>
        </w:rPr>
        <w:t xml:space="preserve"> (+</w:t>
      </w:r>
      <w:r w:rsidR="00DD4146">
        <w:rPr>
          <w:sz w:val="26"/>
          <w:szCs w:val="26"/>
        </w:rPr>
        <w:t>12801,5</w:t>
      </w:r>
      <w:r w:rsidR="004773F4">
        <w:rPr>
          <w:sz w:val="26"/>
          <w:szCs w:val="26"/>
        </w:rPr>
        <w:t xml:space="preserve"> тыс. рублей)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</w:t>
      </w:r>
      <w:r w:rsidR="00DD4146">
        <w:rPr>
          <w:i/>
          <w:sz w:val="26"/>
          <w:szCs w:val="26"/>
        </w:rPr>
        <w:t>1416,4</w:t>
      </w:r>
      <w:r>
        <w:rPr>
          <w:i/>
          <w:sz w:val="26"/>
          <w:szCs w:val="26"/>
        </w:rPr>
        <w:t xml:space="preserve">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DD4146">
        <w:rPr>
          <w:i/>
          <w:sz w:val="26"/>
          <w:szCs w:val="26"/>
        </w:rPr>
        <w:t>9818,1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B81343">
        <w:t xml:space="preserve"> </w:t>
      </w:r>
      <w:r w:rsidRPr="00B81343">
        <w:rPr>
          <w:i/>
          <w:sz w:val="26"/>
          <w:szCs w:val="26"/>
        </w:rPr>
        <w:t>Дополнительное образование детей</w:t>
      </w:r>
      <w:r>
        <w:rPr>
          <w:i/>
          <w:sz w:val="26"/>
          <w:szCs w:val="26"/>
        </w:rPr>
        <w:t xml:space="preserve"> (</w:t>
      </w:r>
      <w:r w:rsidR="00DD4146">
        <w:rPr>
          <w:i/>
          <w:sz w:val="26"/>
          <w:szCs w:val="26"/>
        </w:rPr>
        <w:t>-405,3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B8134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-Молодежная политика (+</w:t>
      </w:r>
      <w:r w:rsidR="00DD4146">
        <w:rPr>
          <w:i/>
          <w:sz w:val="26"/>
          <w:szCs w:val="26"/>
        </w:rPr>
        <w:t>93,3</w:t>
      </w:r>
      <w:r>
        <w:rPr>
          <w:i/>
          <w:sz w:val="26"/>
          <w:szCs w:val="26"/>
        </w:rPr>
        <w:t xml:space="preserve"> тыс. рублей);</w:t>
      </w:r>
    </w:p>
    <w:p w:rsidR="00DD4146" w:rsidRDefault="00DD4146" w:rsidP="00DD414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Другие вопросы в области образования(+1879,0 тыс. рублей.</w:t>
      </w:r>
    </w:p>
    <w:p w:rsidR="00027410" w:rsidRPr="000A2FC3" w:rsidRDefault="00A00F7B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27410">
        <w:rPr>
          <w:b/>
          <w:sz w:val="26"/>
          <w:szCs w:val="26"/>
        </w:rPr>
        <w:t xml:space="preserve">. </w:t>
      </w:r>
      <w:r w:rsidR="00027410" w:rsidRPr="00340C2D">
        <w:rPr>
          <w:b/>
          <w:sz w:val="26"/>
          <w:szCs w:val="26"/>
          <w:u w:val="single"/>
        </w:rPr>
        <w:t>Культура, кинематография</w:t>
      </w:r>
      <w:r w:rsidR="00027410" w:rsidRPr="000A2FC3">
        <w:rPr>
          <w:sz w:val="26"/>
          <w:szCs w:val="26"/>
        </w:rPr>
        <w:t xml:space="preserve"> </w:t>
      </w:r>
      <w:r w:rsidR="00027410">
        <w:rPr>
          <w:sz w:val="26"/>
          <w:szCs w:val="26"/>
        </w:rPr>
        <w:t xml:space="preserve">(раздел 0800 </w:t>
      </w:r>
      <w:r w:rsidR="00DD4146">
        <w:rPr>
          <w:sz w:val="26"/>
          <w:szCs w:val="26"/>
        </w:rPr>
        <w:t>+4087,8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рублей), в том числе:</w:t>
      </w:r>
      <w:r w:rsidR="00027410" w:rsidRPr="002D50FE">
        <w:t xml:space="preserve"> </w:t>
      </w:r>
      <w:r w:rsidR="00027410" w:rsidRPr="002D50FE">
        <w:rPr>
          <w:sz w:val="26"/>
          <w:szCs w:val="26"/>
        </w:rPr>
        <w:t>Муниципальная  программа  "Развитие культуры "</w:t>
      </w:r>
      <w:r w:rsidR="00DD4146">
        <w:rPr>
          <w:sz w:val="26"/>
          <w:szCs w:val="26"/>
        </w:rPr>
        <w:t>(+4087,8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</w:t>
      </w:r>
      <w:r w:rsidR="009D6E36">
        <w:rPr>
          <w:sz w:val="26"/>
          <w:szCs w:val="26"/>
        </w:rPr>
        <w:t>;</w:t>
      </w:r>
    </w:p>
    <w:p w:rsidR="00AC5985" w:rsidRDefault="00A00F7B" w:rsidP="009D6E36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DD4146">
        <w:rPr>
          <w:sz w:val="26"/>
          <w:szCs w:val="26"/>
        </w:rPr>
        <w:t>(+5,0</w:t>
      </w:r>
      <w:r w:rsidR="00027410">
        <w:rPr>
          <w:sz w:val="26"/>
          <w:szCs w:val="26"/>
        </w:rPr>
        <w:t xml:space="preserve"> </w:t>
      </w:r>
      <w:r w:rsidR="00027410"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</w:t>
      </w:r>
      <w:r w:rsidR="00DD4146">
        <w:rPr>
          <w:sz w:val="26"/>
          <w:szCs w:val="26"/>
        </w:rPr>
        <w:t>)</w:t>
      </w:r>
      <w:r w:rsidR="00AC5985" w:rsidRPr="00AC5985">
        <w:rPr>
          <w:sz w:val="26"/>
          <w:szCs w:val="26"/>
        </w:rPr>
        <w:t xml:space="preserve"> </w:t>
      </w:r>
      <w:r w:rsidR="00AC5985">
        <w:rPr>
          <w:sz w:val="26"/>
          <w:szCs w:val="26"/>
        </w:rPr>
        <w:t>в том числе:</w:t>
      </w:r>
    </w:p>
    <w:p w:rsidR="00DF2569" w:rsidRPr="00A30EB0" w:rsidRDefault="00AC5985" w:rsidP="009D6E36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 Охрана семьи и детства</w:t>
      </w:r>
      <w:r w:rsidR="00097BED" w:rsidRPr="00A30EB0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(+5,0 </w:t>
      </w:r>
      <w:r w:rsidRPr="00027410">
        <w:rPr>
          <w:sz w:val="26"/>
          <w:szCs w:val="26"/>
        </w:rPr>
        <w:t>т</w:t>
      </w:r>
      <w:r w:rsidRPr="004F7C54">
        <w:rPr>
          <w:sz w:val="26"/>
          <w:szCs w:val="26"/>
        </w:rPr>
        <w:t>ыс</w:t>
      </w:r>
      <w:r>
        <w:rPr>
          <w:sz w:val="26"/>
          <w:szCs w:val="26"/>
        </w:rPr>
        <w:t>. рублей).</w:t>
      </w:r>
    </w:p>
    <w:p w:rsidR="002D50FE" w:rsidRDefault="00A00F7B" w:rsidP="00A6009F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10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</w:t>
      </w:r>
      <w:r w:rsidR="004572A5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</w:t>
      </w:r>
      <w:r w:rsidR="00AC5985">
        <w:rPr>
          <w:sz w:val="26"/>
          <w:szCs w:val="26"/>
        </w:rPr>
        <w:t>860,3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23573D" w:rsidRDefault="0023573D" w:rsidP="00A6009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23573D">
        <w:rPr>
          <w:i/>
          <w:sz w:val="26"/>
          <w:szCs w:val="26"/>
        </w:rPr>
        <w:t>Физическая культура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</w:t>
      </w:r>
      <w:r w:rsidR="00AC5985">
        <w:rPr>
          <w:i/>
          <w:sz w:val="26"/>
          <w:szCs w:val="26"/>
        </w:rPr>
        <w:t>860,3</w:t>
      </w:r>
      <w:r w:rsidRPr="00A30EB0">
        <w:rPr>
          <w:i/>
          <w:sz w:val="26"/>
          <w:szCs w:val="26"/>
        </w:rPr>
        <w:t xml:space="preserve"> тыс. рублей),</w:t>
      </w:r>
    </w:p>
    <w:p w:rsidR="0047446A" w:rsidRDefault="002B28CB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FC057B">
        <w:rPr>
          <w:b/>
          <w:sz w:val="26"/>
          <w:szCs w:val="26"/>
        </w:rPr>
        <w:t>1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B528D1">
        <w:rPr>
          <w:sz w:val="26"/>
          <w:szCs w:val="26"/>
        </w:rPr>
        <w:t xml:space="preserve"> 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9D6E36">
        <w:rPr>
          <w:sz w:val="26"/>
          <w:szCs w:val="26"/>
          <w:u w:val="single"/>
        </w:rPr>
        <w:t>меньшены</w:t>
      </w:r>
      <w:r w:rsidR="0047446A">
        <w:rPr>
          <w:sz w:val="26"/>
          <w:szCs w:val="26"/>
        </w:rPr>
        <w:t xml:space="preserve"> на </w:t>
      </w:r>
      <w:r w:rsidR="006721AE">
        <w:rPr>
          <w:sz w:val="26"/>
          <w:szCs w:val="26"/>
        </w:rPr>
        <w:t>1037,8</w:t>
      </w:r>
      <w:r w:rsidR="0047446A">
        <w:rPr>
          <w:sz w:val="26"/>
          <w:szCs w:val="26"/>
        </w:rPr>
        <w:t xml:space="preserve"> тыс. рублей </w:t>
      </w:r>
      <w:r w:rsidR="00062896">
        <w:rPr>
          <w:sz w:val="26"/>
          <w:szCs w:val="26"/>
        </w:rPr>
        <w:t xml:space="preserve">по </w:t>
      </w:r>
      <w:r w:rsidR="0047446A">
        <w:rPr>
          <w:sz w:val="26"/>
          <w:szCs w:val="26"/>
        </w:rPr>
        <w:t xml:space="preserve">муниципальной программе «Управление муниципальными финансами» на обслуживание </w:t>
      </w:r>
      <w:r w:rsidR="00FC057B">
        <w:rPr>
          <w:sz w:val="26"/>
          <w:szCs w:val="26"/>
        </w:rPr>
        <w:t>государственного муниципального долга.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FC057B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47446A">
        <w:rPr>
          <w:b/>
          <w:sz w:val="26"/>
          <w:szCs w:val="26"/>
        </w:rPr>
        <w:t>.</w:t>
      </w:r>
      <w:r w:rsidR="0047446A">
        <w:rPr>
          <w:sz w:val="26"/>
          <w:szCs w:val="26"/>
        </w:rPr>
        <w:t xml:space="preserve"> </w:t>
      </w:r>
      <w:r w:rsidR="0047446A"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 w:rsidR="0047446A" w:rsidRPr="00C3758D">
        <w:rPr>
          <w:bCs/>
          <w:sz w:val="26"/>
          <w:szCs w:val="26"/>
        </w:rPr>
        <w:t>»</w:t>
      </w:r>
      <w:r w:rsidR="0047446A" w:rsidRPr="00C3758D">
        <w:rPr>
          <w:b/>
          <w:bCs/>
          <w:sz w:val="26"/>
          <w:szCs w:val="26"/>
        </w:rPr>
        <w:t xml:space="preserve"> </w:t>
      </w:r>
      <w:r w:rsidR="00752B27" w:rsidRPr="00752B27">
        <w:rPr>
          <w:bCs/>
          <w:sz w:val="26"/>
          <w:szCs w:val="26"/>
        </w:rPr>
        <w:t>с</w:t>
      </w:r>
      <w:r w:rsidR="00752B27">
        <w:rPr>
          <w:bCs/>
          <w:sz w:val="26"/>
          <w:szCs w:val="26"/>
        </w:rPr>
        <w:t xml:space="preserve"> учетом изменений </w:t>
      </w:r>
      <w:r w:rsidR="00D650F6" w:rsidRPr="00752B27">
        <w:rPr>
          <w:bCs/>
          <w:sz w:val="26"/>
          <w:szCs w:val="26"/>
        </w:rPr>
        <w:t>на</w:t>
      </w:r>
      <w:r w:rsidR="0047446A" w:rsidRPr="00C3758D">
        <w:rPr>
          <w:sz w:val="26"/>
          <w:szCs w:val="26"/>
        </w:rPr>
        <w:t xml:space="preserve"> </w:t>
      </w:r>
      <w:r w:rsidR="0047446A"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3</w:t>
      </w:r>
      <w:r w:rsidR="0047446A" w:rsidRPr="00C3758D">
        <w:rPr>
          <w:sz w:val="26"/>
          <w:szCs w:val="26"/>
        </w:rPr>
        <w:t xml:space="preserve"> года </w:t>
      </w:r>
      <w:r w:rsidR="00AC5985">
        <w:rPr>
          <w:sz w:val="26"/>
          <w:szCs w:val="26"/>
        </w:rPr>
        <w:t>15768,9</w:t>
      </w:r>
      <w:r w:rsidR="00DB75E2" w:rsidRPr="00C3758D">
        <w:rPr>
          <w:b/>
          <w:bCs/>
          <w:sz w:val="26"/>
          <w:szCs w:val="26"/>
        </w:rPr>
        <w:t xml:space="preserve"> </w:t>
      </w:r>
      <w:r w:rsidR="00D650F6">
        <w:rPr>
          <w:sz w:val="26"/>
          <w:szCs w:val="26"/>
        </w:rPr>
        <w:t>тыс. рублей</w:t>
      </w:r>
      <w:r w:rsidR="00AC5985"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</w:t>
      </w:r>
      <w:r w:rsidR="00236F97">
        <w:rPr>
          <w:rFonts w:ascii="Times New Roman" w:hAnsi="Times New Roman"/>
          <w:sz w:val="26"/>
          <w:szCs w:val="26"/>
        </w:rPr>
        <w:t>2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>у</w:t>
      </w:r>
      <w:r w:rsidR="00EF1E32">
        <w:rPr>
          <w:rFonts w:ascii="Times New Roman" w:hAnsi="Times New Roman"/>
          <w:sz w:val="26"/>
          <w:szCs w:val="26"/>
        </w:rPr>
        <w:t>меньшен</w:t>
      </w:r>
      <w:r w:rsidR="003F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6721AE">
        <w:rPr>
          <w:rFonts w:ascii="Times New Roman" w:hAnsi="Times New Roman"/>
          <w:sz w:val="26"/>
          <w:szCs w:val="26"/>
        </w:rPr>
        <w:t>1037,8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6721AE" w:rsidRDefault="006721AE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EB7143" w:rsidRPr="00EB7143">
        <w:rPr>
          <w:sz w:val="26"/>
          <w:szCs w:val="26"/>
        </w:rPr>
        <w:t>Анализ показал, что проект решения</w:t>
      </w:r>
      <w:r w:rsidR="00EB7143" w:rsidRPr="00EB260D">
        <w:rPr>
          <w:sz w:val="24"/>
          <w:szCs w:val="24"/>
        </w:rPr>
        <w:t xml:space="preserve"> </w:t>
      </w:r>
      <w:r w:rsidRPr="008D77BB">
        <w:rPr>
          <w:sz w:val="26"/>
          <w:szCs w:val="26"/>
        </w:rPr>
        <w:t>Совета депутатов муниципального образования «</w:t>
      </w:r>
      <w:r w:rsidR="003E4146">
        <w:rPr>
          <w:sz w:val="26"/>
          <w:szCs w:val="26"/>
        </w:rPr>
        <w:t xml:space="preserve">Муниципальный округ </w:t>
      </w:r>
      <w:r w:rsidRPr="008D77BB">
        <w:rPr>
          <w:sz w:val="26"/>
          <w:szCs w:val="26"/>
        </w:rPr>
        <w:t>Каракулинский район</w:t>
      </w:r>
      <w:r w:rsidR="003E4146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>«О внесении изменений в Решение Совета депутатов муниципального образования «</w:t>
      </w:r>
      <w:r w:rsidR="00C34F8D">
        <w:rPr>
          <w:sz w:val="26"/>
          <w:szCs w:val="26"/>
        </w:rPr>
        <w:t xml:space="preserve">Муниципальный округ </w:t>
      </w:r>
      <w:r w:rsidR="00C34F8D" w:rsidRPr="008D77BB">
        <w:rPr>
          <w:sz w:val="26"/>
          <w:szCs w:val="26"/>
        </w:rPr>
        <w:t>Каракулинский район</w:t>
      </w:r>
      <w:r w:rsidR="00C34F8D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 xml:space="preserve">» от </w:t>
      </w:r>
      <w:r w:rsidR="00236F97">
        <w:rPr>
          <w:sz w:val="26"/>
          <w:szCs w:val="26"/>
        </w:rPr>
        <w:t>22</w:t>
      </w:r>
      <w:r w:rsidRPr="008D77BB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236F97">
        <w:rPr>
          <w:sz w:val="26"/>
          <w:szCs w:val="26"/>
        </w:rPr>
        <w:t>1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 w:rsidR="00236F97"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/</w:t>
      </w:r>
      <w:r w:rsidR="00236F97">
        <w:rPr>
          <w:color w:val="000000"/>
          <w:spacing w:val="3"/>
          <w:sz w:val="26"/>
          <w:szCs w:val="26"/>
        </w:rPr>
        <w:t>12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1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</w:t>
      </w:r>
      <w:r w:rsidR="00236F97">
        <w:rPr>
          <w:sz w:val="26"/>
          <w:szCs w:val="26"/>
        </w:rPr>
        <w:t>Муниципальный округ Каракулинский район Удмуртской Республики</w:t>
      </w:r>
      <w:r w:rsidRPr="008D77BB">
        <w:rPr>
          <w:color w:val="000000"/>
          <w:spacing w:val="3"/>
          <w:sz w:val="26"/>
          <w:szCs w:val="26"/>
        </w:rPr>
        <w:t>» на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2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3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4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3D3D0F" w:rsidRPr="003D3D0F" w:rsidRDefault="003D3D0F" w:rsidP="003D3D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Ограничения, установленные п. 3 статьи 92.1 БК РФ для размера дефицита местных бюджетов, не нарушены.</w:t>
      </w:r>
    </w:p>
    <w:p w:rsidR="003D3D0F" w:rsidRPr="003D3D0F" w:rsidRDefault="003D3D0F" w:rsidP="003D3D0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Требования и ограничения, установленные ст. 107 БК РФ по сумме верхнего пр</w:t>
      </w:r>
      <w:r w:rsidR="00EB7143">
        <w:rPr>
          <w:sz w:val="26"/>
          <w:szCs w:val="26"/>
        </w:rPr>
        <w:t>е</w:t>
      </w:r>
      <w:r w:rsidRPr="003D3D0F">
        <w:rPr>
          <w:sz w:val="26"/>
          <w:szCs w:val="26"/>
        </w:rPr>
        <w:t>дела муниципального долга, ст. 111 БК РФ по расходам на обслуживание муниципального внутреннего долга, соблюдены.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</w:t>
      </w:r>
      <w:r w:rsidR="00525698">
        <w:rPr>
          <w:sz w:val="26"/>
          <w:szCs w:val="26"/>
        </w:rPr>
        <w:t>,</w:t>
      </w:r>
      <w:r w:rsidRPr="00CF50AE">
        <w:rPr>
          <w:sz w:val="26"/>
          <w:szCs w:val="26"/>
        </w:rPr>
        <w:t xml:space="preserve">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236F97"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 w:rsidR="00236F97"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236F97">
        <w:rPr>
          <w:rFonts w:ascii="Times New Roman" w:hAnsi="Times New Roman"/>
          <w:color w:val="000000"/>
          <w:sz w:val="26"/>
          <w:szCs w:val="26"/>
        </w:rPr>
        <w:t>4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</w:t>
      </w:r>
      <w:r w:rsidR="00236F97">
        <w:t xml:space="preserve"> Муниципальный округ </w:t>
      </w:r>
      <w:r w:rsidRPr="00055DC6">
        <w:t>Каракулинский район</w:t>
      </w:r>
      <w:r w:rsidR="00236F97">
        <w:t xml:space="preserve"> Удмуртской Республики</w:t>
      </w:r>
      <w:r w:rsidRPr="00055DC6">
        <w:t>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>- для Совета депутатов муниципального образования «</w:t>
      </w:r>
      <w:r w:rsidR="003E4146">
        <w:rPr>
          <w:b w:val="0"/>
          <w:sz w:val="20"/>
          <w:szCs w:val="20"/>
        </w:rPr>
        <w:t xml:space="preserve">Муниципальный округ </w:t>
      </w:r>
      <w:r w:rsidRPr="00055DC6">
        <w:rPr>
          <w:b w:val="0"/>
          <w:sz w:val="20"/>
          <w:szCs w:val="20"/>
        </w:rPr>
        <w:t>Каракулинский район</w:t>
      </w:r>
      <w:r w:rsidR="003E4146">
        <w:rPr>
          <w:b w:val="0"/>
          <w:sz w:val="20"/>
          <w:szCs w:val="20"/>
        </w:rPr>
        <w:t xml:space="preserve"> Удмуртской Республики</w:t>
      </w:r>
      <w:r w:rsidRPr="00055DC6">
        <w:rPr>
          <w:b w:val="0"/>
          <w:sz w:val="20"/>
          <w:szCs w:val="20"/>
        </w:rPr>
        <w:t xml:space="preserve">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AC5985" w:rsidRDefault="00236F97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Председатель</w:t>
      </w:r>
      <w:r w:rsidR="0047446A" w:rsidRPr="00AC5985">
        <w:rPr>
          <w:sz w:val="26"/>
          <w:szCs w:val="26"/>
        </w:rPr>
        <w:t xml:space="preserve"> Контрольно-счетного органа</w:t>
      </w:r>
    </w:p>
    <w:p w:rsidR="00236F97" w:rsidRPr="00AC5985" w:rsidRDefault="00AC5985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м</w:t>
      </w:r>
      <w:r w:rsidR="00236F97" w:rsidRPr="00AC5985">
        <w:rPr>
          <w:sz w:val="26"/>
          <w:szCs w:val="26"/>
        </w:rPr>
        <w:t>униципального образования</w:t>
      </w:r>
      <w:r w:rsidR="0047446A" w:rsidRPr="00AC5985">
        <w:rPr>
          <w:sz w:val="26"/>
          <w:szCs w:val="26"/>
        </w:rPr>
        <w:t xml:space="preserve"> «</w:t>
      </w:r>
      <w:r w:rsidR="00236F97" w:rsidRPr="00AC5985">
        <w:rPr>
          <w:sz w:val="26"/>
          <w:szCs w:val="26"/>
        </w:rPr>
        <w:t xml:space="preserve">Муниципальный округ </w:t>
      </w:r>
    </w:p>
    <w:p w:rsidR="00236F97" w:rsidRPr="00AC5985" w:rsidRDefault="0047446A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AC5985">
        <w:rPr>
          <w:sz w:val="26"/>
          <w:szCs w:val="26"/>
        </w:rPr>
        <w:t>Каракулинский район</w:t>
      </w:r>
      <w:r w:rsidR="00236F97" w:rsidRPr="00AC5985">
        <w:rPr>
          <w:sz w:val="26"/>
          <w:szCs w:val="26"/>
        </w:rPr>
        <w:t xml:space="preserve"> Удмуртской Республики»</w:t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</w:r>
      <w:r w:rsidR="00236F97" w:rsidRPr="00AC5985">
        <w:rPr>
          <w:sz w:val="26"/>
          <w:szCs w:val="26"/>
        </w:rPr>
        <w:tab/>
        <w:t>В.В.Пономарева</w:t>
      </w:r>
    </w:p>
    <w:sectPr w:rsidR="00236F97" w:rsidRPr="00AC5985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8C" w:rsidRDefault="00B2238C">
      <w:r>
        <w:separator/>
      </w:r>
    </w:p>
  </w:endnote>
  <w:endnote w:type="continuationSeparator" w:id="0">
    <w:p w:rsidR="00B2238C" w:rsidRDefault="00B2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60" w:rsidRDefault="00397660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97660" w:rsidRDefault="00397660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60" w:rsidRDefault="00397660" w:rsidP="003D2CDA">
    <w:pPr>
      <w:pStyle w:val="a5"/>
    </w:pPr>
  </w:p>
  <w:p w:rsidR="00397660" w:rsidRDefault="00397660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8C" w:rsidRDefault="00B2238C">
      <w:r>
        <w:separator/>
      </w:r>
    </w:p>
  </w:footnote>
  <w:footnote w:type="continuationSeparator" w:id="0">
    <w:p w:rsidR="00B2238C" w:rsidRDefault="00B2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60" w:rsidRDefault="00397660">
    <w:pPr>
      <w:pStyle w:val="a3"/>
      <w:jc w:val="center"/>
    </w:pPr>
    <w:fldSimple w:instr=" PAGE   \* MERGEFORMAT ">
      <w:r w:rsidR="00602FB1">
        <w:rPr>
          <w:noProof/>
        </w:rPr>
        <w:t>10</w:t>
      </w:r>
    </w:fldSimple>
  </w:p>
  <w:p w:rsidR="00397660" w:rsidRDefault="00397660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60" w:rsidRDefault="00397660" w:rsidP="00D5531F">
    <w:pPr>
      <w:pStyle w:val="1"/>
      <w:ind w:firstLine="426"/>
      <w:rPr>
        <w:b w:val="0"/>
        <w:spacing w:val="80"/>
        <w:sz w:val="20"/>
      </w:rPr>
    </w:pPr>
  </w:p>
  <w:p w:rsidR="00397660" w:rsidRPr="00D5531F" w:rsidRDefault="00397660" w:rsidP="00D5531F">
    <w:pPr>
      <w:pStyle w:val="1"/>
      <w:ind w:firstLine="426"/>
      <w:rPr>
        <w:b w:val="0"/>
        <w:spacing w:val="80"/>
        <w:sz w:val="20"/>
      </w:rPr>
    </w:pPr>
  </w:p>
  <w:p w:rsidR="00397660" w:rsidRPr="006A1F58" w:rsidRDefault="00397660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397660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97660" w:rsidRDefault="00397660" w:rsidP="003F7BED">
          <w:pPr>
            <w:tabs>
              <w:tab w:val="left" w:pos="1400"/>
            </w:tabs>
            <w:jc w:val="center"/>
          </w:pPr>
        </w:p>
        <w:p w:rsidR="00397660" w:rsidRPr="004B5A18" w:rsidRDefault="00397660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397660" w:rsidRDefault="00397660" w:rsidP="008F5DC7">
          <w:pPr>
            <w:jc w:val="center"/>
            <w:rPr>
              <w:noProof/>
              <w:sz w:val="22"/>
              <w:szCs w:val="22"/>
            </w:rPr>
          </w:pPr>
          <w:r w:rsidRPr="008A1133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  <w:p w:rsidR="00397660" w:rsidRPr="00E60F47" w:rsidRDefault="00397660" w:rsidP="008F5DC7">
          <w:pPr>
            <w:jc w:val="center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397660" w:rsidRDefault="00397660" w:rsidP="003F7BED">
          <w:pPr>
            <w:jc w:val="both"/>
            <w:rPr>
              <w:bCs/>
              <w:sz w:val="18"/>
              <w:szCs w:val="18"/>
            </w:rPr>
          </w:pPr>
        </w:p>
        <w:p w:rsidR="00397660" w:rsidRPr="004B5A18" w:rsidRDefault="00397660" w:rsidP="003F7BED">
          <w:pPr>
            <w:jc w:val="center"/>
            <w:rPr>
              <w:bCs/>
              <w:sz w:val="18"/>
              <w:szCs w:val="18"/>
            </w:rPr>
          </w:pPr>
        </w:p>
        <w:p w:rsidR="00397660" w:rsidRPr="004B5A18" w:rsidRDefault="00397660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397660" w:rsidRPr="008F5DC7" w:rsidRDefault="00397660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КОНТРОЛЬНО-СЧЕТНЫЙ ОРГАН МУНИЦИПАЛЬНОГО ОБРАЗОВАНИЯ</w:t>
    </w:r>
  </w:p>
  <w:p w:rsidR="00397660" w:rsidRDefault="00397660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«МУНИЦИПАЛЬНЫЙ ОКРУГ КАРАКУЛИНСКИЙ РАЙОН УДМУРТСКОЙ РЕСПУБЛИКИ»</w:t>
    </w:r>
  </w:p>
  <w:p w:rsidR="00397660" w:rsidRPr="008F5DC7" w:rsidRDefault="00397660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</w:p>
  <w:p w:rsidR="00397660" w:rsidRPr="008F5DC7" w:rsidRDefault="00397660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rFonts w:eastAsia="Calibri"/>
        <w:b/>
      </w:rPr>
    </w:pPr>
    <w:r w:rsidRPr="008F5DC7">
      <w:rPr>
        <w:b/>
      </w:rPr>
      <w:t>«УДМУРТ ЭЛЬКУНЫСЬ КАРАКУЛИНО</w:t>
    </w:r>
    <w:r w:rsidRPr="008F5DC7">
      <w:rPr>
        <w:rFonts w:eastAsia="Arial"/>
        <w:b/>
      </w:rPr>
      <w:t xml:space="preserve"> ЁРОС </w:t>
    </w:r>
    <w:r w:rsidRPr="008F5DC7">
      <w:rPr>
        <w:rFonts w:eastAsia="Calibri"/>
        <w:b/>
      </w:rPr>
      <w:t xml:space="preserve">МУНИЦИПАЛ ОКРУГ» </w:t>
    </w:r>
  </w:p>
  <w:p w:rsidR="00397660" w:rsidRPr="008F5DC7" w:rsidRDefault="00397660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b/>
      </w:rPr>
    </w:pPr>
    <w:r w:rsidRPr="008F5DC7">
      <w:rPr>
        <w:rFonts w:eastAsia="Calibri"/>
        <w:b/>
      </w:rPr>
      <w:t xml:space="preserve">МУНИЦИПАЛ КЫЛДЫТЭТЫСЬ </w:t>
    </w:r>
    <w:r w:rsidRPr="008F5DC7">
      <w:rPr>
        <w:b/>
      </w:rPr>
      <w:t>ЭСКЕРОН-ЛЫДЪЯНЪЯ ЁЗЭСЭЗ</w:t>
    </w:r>
  </w:p>
  <w:p w:rsidR="00397660" w:rsidRPr="00542C30" w:rsidRDefault="00397660" w:rsidP="003F7BED">
    <w:pPr>
      <w:tabs>
        <w:tab w:val="left" w:pos="567"/>
        <w:tab w:val="left" w:pos="18286"/>
      </w:tabs>
      <w:ind w:left="142" w:right="172" w:hanging="142"/>
      <w:jc w:val="center"/>
    </w:pPr>
  </w:p>
  <w:p w:rsidR="00397660" w:rsidRPr="003F7BED" w:rsidRDefault="00397660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41D9"/>
    <w:rsid w:val="0000533C"/>
    <w:rsid w:val="0000597B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56EE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8E4"/>
    <w:rsid w:val="00033F5D"/>
    <w:rsid w:val="00034BD6"/>
    <w:rsid w:val="00034E05"/>
    <w:rsid w:val="00035302"/>
    <w:rsid w:val="00035D12"/>
    <w:rsid w:val="00035D46"/>
    <w:rsid w:val="00036DF3"/>
    <w:rsid w:val="00040646"/>
    <w:rsid w:val="00041279"/>
    <w:rsid w:val="000414E4"/>
    <w:rsid w:val="0004200C"/>
    <w:rsid w:val="00042B3A"/>
    <w:rsid w:val="00043493"/>
    <w:rsid w:val="000435FD"/>
    <w:rsid w:val="00043B0B"/>
    <w:rsid w:val="00044218"/>
    <w:rsid w:val="00044A78"/>
    <w:rsid w:val="00044A83"/>
    <w:rsid w:val="00044FDD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1E62"/>
    <w:rsid w:val="000525FE"/>
    <w:rsid w:val="0005316D"/>
    <w:rsid w:val="0005379F"/>
    <w:rsid w:val="00053B05"/>
    <w:rsid w:val="00054181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18E"/>
    <w:rsid w:val="000844A5"/>
    <w:rsid w:val="00084ED7"/>
    <w:rsid w:val="00085225"/>
    <w:rsid w:val="00085F84"/>
    <w:rsid w:val="00086F55"/>
    <w:rsid w:val="00087192"/>
    <w:rsid w:val="000903BB"/>
    <w:rsid w:val="00092119"/>
    <w:rsid w:val="00094B3F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DB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6CB6"/>
    <w:rsid w:val="000C7335"/>
    <w:rsid w:val="000C73F1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D7D76"/>
    <w:rsid w:val="000E1A24"/>
    <w:rsid w:val="000E1EAD"/>
    <w:rsid w:val="000E28EA"/>
    <w:rsid w:val="000E3217"/>
    <w:rsid w:val="000E3368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2BD0"/>
    <w:rsid w:val="000F37BA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176D9"/>
    <w:rsid w:val="0012041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974"/>
    <w:rsid w:val="00134D35"/>
    <w:rsid w:val="0013557F"/>
    <w:rsid w:val="00135C93"/>
    <w:rsid w:val="00135E57"/>
    <w:rsid w:val="00135FFF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4AE"/>
    <w:rsid w:val="001446E3"/>
    <w:rsid w:val="00144762"/>
    <w:rsid w:val="00144889"/>
    <w:rsid w:val="00144904"/>
    <w:rsid w:val="00144F22"/>
    <w:rsid w:val="001459DB"/>
    <w:rsid w:val="0014625B"/>
    <w:rsid w:val="001462C4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535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971"/>
    <w:rsid w:val="00174C66"/>
    <w:rsid w:val="00174DD5"/>
    <w:rsid w:val="001771C7"/>
    <w:rsid w:val="00180E13"/>
    <w:rsid w:val="001810EA"/>
    <w:rsid w:val="0018127B"/>
    <w:rsid w:val="001817C5"/>
    <w:rsid w:val="00183671"/>
    <w:rsid w:val="00183B53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5DF5"/>
    <w:rsid w:val="00196554"/>
    <w:rsid w:val="001968CE"/>
    <w:rsid w:val="00197B70"/>
    <w:rsid w:val="00197F95"/>
    <w:rsid w:val="001A0055"/>
    <w:rsid w:val="001A05C4"/>
    <w:rsid w:val="001A0DEC"/>
    <w:rsid w:val="001A1867"/>
    <w:rsid w:val="001A1A15"/>
    <w:rsid w:val="001A24A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4C2"/>
    <w:rsid w:val="001C6573"/>
    <w:rsid w:val="001C6E04"/>
    <w:rsid w:val="001C730D"/>
    <w:rsid w:val="001D0FBC"/>
    <w:rsid w:val="001D199C"/>
    <w:rsid w:val="001D32A8"/>
    <w:rsid w:val="001D3EAD"/>
    <w:rsid w:val="001D49EA"/>
    <w:rsid w:val="001D5286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6FE3"/>
    <w:rsid w:val="001E7C3D"/>
    <w:rsid w:val="001F0E53"/>
    <w:rsid w:val="001F17B8"/>
    <w:rsid w:val="001F3766"/>
    <w:rsid w:val="001F3C63"/>
    <w:rsid w:val="001F4E50"/>
    <w:rsid w:val="001F5182"/>
    <w:rsid w:val="001F53E4"/>
    <w:rsid w:val="001F59CF"/>
    <w:rsid w:val="001F5B78"/>
    <w:rsid w:val="001F66B7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40DD"/>
    <w:rsid w:val="002150EE"/>
    <w:rsid w:val="00215A7E"/>
    <w:rsid w:val="00216018"/>
    <w:rsid w:val="002160EF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573D"/>
    <w:rsid w:val="00236A27"/>
    <w:rsid w:val="00236F9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3D0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2DB8"/>
    <w:rsid w:val="0027336E"/>
    <w:rsid w:val="00274030"/>
    <w:rsid w:val="0027415B"/>
    <w:rsid w:val="00274419"/>
    <w:rsid w:val="002755B3"/>
    <w:rsid w:val="00276CDB"/>
    <w:rsid w:val="00276D3A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9CC"/>
    <w:rsid w:val="002A0BF8"/>
    <w:rsid w:val="002A0C42"/>
    <w:rsid w:val="002A20FC"/>
    <w:rsid w:val="002A27B9"/>
    <w:rsid w:val="002A2D0B"/>
    <w:rsid w:val="002A30D2"/>
    <w:rsid w:val="002A318A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485"/>
    <w:rsid w:val="002B28CB"/>
    <w:rsid w:val="002B2933"/>
    <w:rsid w:val="002B3261"/>
    <w:rsid w:val="002B34D1"/>
    <w:rsid w:val="002B3986"/>
    <w:rsid w:val="002B3E3C"/>
    <w:rsid w:val="002B415C"/>
    <w:rsid w:val="002B6480"/>
    <w:rsid w:val="002B68B1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495"/>
    <w:rsid w:val="002E3ACA"/>
    <w:rsid w:val="002E4C47"/>
    <w:rsid w:val="002E4FF6"/>
    <w:rsid w:val="002E53C2"/>
    <w:rsid w:val="002E625E"/>
    <w:rsid w:val="002E70C2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057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8C6"/>
    <w:rsid w:val="00313B50"/>
    <w:rsid w:val="00314114"/>
    <w:rsid w:val="00314141"/>
    <w:rsid w:val="0031431B"/>
    <w:rsid w:val="00314E0D"/>
    <w:rsid w:val="00315959"/>
    <w:rsid w:val="00315EBB"/>
    <w:rsid w:val="00316284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1D94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031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11D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5F85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5A04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1B28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660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438B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89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10CC"/>
    <w:rsid w:val="003C45D8"/>
    <w:rsid w:val="003C490C"/>
    <w:rsid w:val="003C5197"/>
    <w:rsid w:val="003C5BE5"/>
    <w:rsid w:val="003C62C0"/>
    <w:rsid w:val="003C635D"/>
    <w:rsid w:val="003C67A1"/>
    <w:rsid w:val="003C6B64"/>
    <w:rsid w:val="003C70D8"/>
    <w:rsid w:val="003C745E"/>
    <w:rsid w:val="003C75C0"/>
    <w:rsid w:val="003C7934"/>
    <w:rsid w:val="003C7DD1"/>
    <w:rsid w:val="003D12B8"/>
    <w:rsid w:val="003D1449"/>
    <w:rsid w:val="003D1B80"/>
    <w:rsid w:val="003D1D29"/>
    <w:rsid w:val="003D2C9B"/>
    <w:rsid w:val="003D2CDA"/>
    <w:rsid w:val="003D3D0F"/>
    <w:rsid w:val="003D4148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146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047"/>
    <w:rsid w:val="00406273"/>
    <w:rsid w:val="0040640F"/>
    <w:rsid w:val="00407AF5"/>
    <w:rsid w:val="00411F3D"/>
    <w:rsid w:val="004122CB"/>
    <w:rsid w:val="00412D7E"/>
    <w:rsid w:val="0041305B"/>
    <w:rsid w:val="004139DF"/>
    <w:rsid w:val="00413AEC"/>
    <w:rsid w:val="00413EF0"/>
    <w:rsid w:val="00415030"/>
    <w:rsid w:val="004155F0"/>
    <w:rsid w:val="00415C6B"/>
    <w:rsid w:val="00416810"/>
    <w:rsid w:val="004171D9"/>
    <w:rsid w:val="00417EA5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1F8"/>
    <w:rsid w:val="00435216"/>
    <w:rsid w:val="0043550F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572A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3EFA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5AE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007"/>
    <w:rsid w:val="0049680C"/>
    <w:rsid w:val="00497272"/>
    <w:rsid w:val="004973E2"/>
    <w:rsid w:val="004977A2"/>
    <w:rsid w:val="004A23CB"/>
    <w:rsid w:val="004A2D82"/>
    <w:rsid w:val="004A4086"/>
    <w:rsid w:val="004A4277"/>
    <w:rsid w:val="004A5AAC"/>
    <w:rsid w:val="004A5CB6"/>
    <w:rsid w:val="004A661F"/>
    <w:rsid w:val="004A677A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51E9"/>
    <w:rsid w:val="004D630E"/>
    <w:rsid w:val="004D6E4F"/>
    <w:rsid w:val="004D724A"/>
    <w:rsid w:val="004D7668"/>
    <w:rsid w:val="004E11F2"/>
    <w:rsid w:val="004E160F"/>
    <w:rsid w:val="004E42EB"/>
    <w:rsid w:val="004E479D"/>
    <w:rsid w:val="004E4814"/>
    <w:rsid w:val="004E540F"/>
    <w:rsid w:val="004E5479"/>
    <w:rsid w:val="004E6564"/>
    <w:rsid w:val="004E7238"/>
    <w:rsid w:val="004E7BF9"/>
    <w:rsid w:val="004F008C"/>
    <w:rsid w:val="004F085C"/>
    <w:rsid w:val="004F1F01"/>
    <w:rsid w:val="004F21C2"/>
    <w:rsid w:val="004F25C4"/>
    <w:rsid w:val="004F2E50"/>
    <w:rsid w:val="004F3022"/>
    <w:rsid w:val="004F3FA2"/>
    <w:rsid w:val="004F4E38"/>
    <w:rsid w:val="004F6C3E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1C1"/>
    <w:rsid w:val="005166F3"/>
    <w:rsid w:val="005167B1"/>
    <w:rsid w:val="005206C1"/>
    <w:rsid w:val="005246A0"/>
    <w:rsid w:val="00524D0A"/>
    <w:rsid w:val="00524F1D"/>
    <w:rsid w:val="00525089"/>
    <w:rsid w:val="00525698"/>
    <w:rsid w:val="0052575B"/>
    <w:rsid w:val="00526575"/>
    <w:rsid w:val="00526AF8"/>
    <w:rsid w:val="00527BE0"/>
    <w:rsid w:val="0053002F"/>
    <w:rsid w:val="00530D99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39CA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027"/>
    <w:rsid w:val="0057210F"/>
    <w:rsid w:val="00572436"/>
    <w:rsid w:val="00572F80"/>
    <w:rsid w:val="00573CA2"/>
    <w:rsid w:val="005744F2"/>
    <w:rsid w:val="00574C69"/>
    <w:rsid w:val="00575D4A"/>
    <w:rsid w:val="005763D5"/>
    <w:rsid w:val="00576518"/>
    <w:rsid w:val="005769EC"/>
    <w:rsid w:val="0057755B"/>
    <w:rsid w:val="00580877"/>
    <w:rsid w:val="00580B80"/>
    <w:rsid w:val="00580C13"/>
    <w:rsid w:val="005814BF"/>
    <w:rsid w:val="00581DF3"/>
    <w:rsid w:val="005836C8"/>
    <w:rsid w:val="005843F0"/>
    <w:rsid w:val="005847BA"/>
    <w:rsid w:val="005848F7"/>
    <w:rsid w:val="00584FF5"/>
    <w:rsid w:val="0058525E"/>
    <w:rsid w:val="00585592"/>
    <w:rsid w:val="00585A4C"/>
    <w:rsid w:val="005861DF"/>
    <w:rsid w:val="0058730B"/>
    <w:rsid w:val="005873C2"/>
    <w:rsid w:val="00587EBE"/>
    <w:rsid w:val="00590E20"/>
    <w:rsid w:val="0059111D"/>
    <w:rsid w:val="0059125B"/>
    <w:rsid w:val="00591352"/>
    <w:rsid w:val="00591615"/>
    <w:rsid w:val="005924F8"/>
    <w:rsid w:val="0059251C"/>
    <w:rsid w:val="0059358C"/>
    <w:rsid w:val="005942AE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3C7"/>
    <w:rsid w:val="005D19D6"/>
    <w:rsid w:val="005D1A7F"/>
    <w:rsid w:val="005D1B8C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2FB1"/>
    <w:rsid w:val="00603050"/>
    <w:rsid w:val="006047AE"/>
    <w:rsid w:val="006047FC"/>
    <w:rsid w:val="00604822"/>
    <w:rsid w:val="0060608F"/>
    <w:rsid w:val="006060D9"/>
    <w:rsid w:val="006067D3"/>
    <w:rsid w:val="006112EB"/>
    <w:rsid w:val="006112F6"/>
    <w:rsid w:val="006120A1"/>
    <w:rsid w:val="00612568"/>
    <w:rsid w:val="006125CA"/>
    <w:rsid w:val="00612611"/>
    <w:rsid w:val="0061284B"/>
    <w:rsid w:val="006129C9"/>
    <w:rsid w:val="00614165"/>
    <w:rsid w:val="0061469B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8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6B06"/>
    <w:rsid w:val="006572B7"/>
    <w:rsid w:val="00657BD0"/>
    <w:rsid w:val="00657D81"/>
    <w:rsid w:val="00660162"/>
    <w:rsid w:val="00660696"/>
    <w:rsid w:val="00660B80"/>
    <w:rsid w:val="00661219"/>
    <w:rsid w:val="0066165B"/>
    <w:rsid w:val="00661AA7"/>
    <w:rsid w:val="00661ABF"/>
    <w:rsid w:val="00662615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A9D"/>
    <w:rsid w:val="00671F1A"/>
    <w:rsid w:val="00671F3D"/>
    <w:rsid w:val="006721AE"/>
    <w:rsid w:val="006721BB"/>
    <w:rsid w:val="006725A0"/>
    <w:rsid w:val="00672786"/>
    <w:rsid w:val="006737A5"/>
    <w:rsid w:val="00674194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6B08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5D53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4B79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2494"/>
    <w:rsid w:val="006F3CC3"/>
    <w:rsid w:val="006F457F"/>
    <w:rsid w:val="006F4F91"/>
    <w:rsid w:val="006F59EE"/>
    <w:rsid w:val="006F5FDC"/>
    <w:rsid w:val="006F63AC"/>
    <w:rsid w:val="006F6861"/>
    <w:rsid w:val="006F7672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4641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8F3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13A"/>
    <w:rsid w:val="007364F2"/>
    <w:rsid w:val="00736D1A"/>
    <w:rsid w:val="00740815"/>
    <w:rsid w:val="00740E80"/>
    <w:rsid w:val="00741453"/>
    <w:rsid w:val="00742608"/>
    <w:rsid w:val="00744297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B27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E25"/>
    <w:rsid w:val="00761FD5"/>
    <w:rsid w:val="007624D8"/>
    <w:rsid w:val="00764674"/>
    <w:rsid w:val="007648D9"/>
    <w:rsid w:val="0076519D"/>
    <w:rsid w:val="007653AD"/>
    <w:rsid w:val="00765759"/>
    <w:rsid w:val="00765A8B"/>
    <w:rsid w:val="00766543"/>
    <w:rsid w:val="00766B79"/>
    <w:rsid w:val="00766E98"/>
    <w:rsid w:val="00767602"/>
    <w:rsid w:val="00767755"/>
    <w:rsid w:val="0076784A"/>
    <w:rsid w:val="00767ABC"/>
    <w:rsid w:val="007700F1"/>
    <w:rsid w:val="0077140A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6E4C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09E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242B"/>
    <w:rsid w:val="007A33D5"/>
    <w:rsid w:val="007A44E3"/>
    <w:rsid w:val="007A50FD"/>
    <w:rsid w:val="007A5F7D"/>
    <w:rsid w:val="007A5FD3"/>
    <w:rsid w:val="007A61F4"/>
    <w:rsid w:val="007A62B0"/>
    <w:rsid w:val="007A6763"/>
    <w:rsid w:val="007A6FA8"/>
    <w:rsid w:val="007A748E"/>
    <w:rsid w:val="007A782F"/>
    <w:rsid w:val="007B0068"/>
    <w:rsid w:val="007B2663"/>
    <w:rsid w:val="007B2818"/>
    <w:rsid w:val="007B2C33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09F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04CC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53A6"/>
    <w:rsid w:val="007E6237"/>
    <w:rsid w:val="007E62FC"/>
    <w:rsid w:val="007E6A7A"/>
    <w:rsid w:val="007E7250"/>
    <w:rsid w:val="007E7E8D"/>
    <w:rsid w:val="007F0085"/>
    <w:rsid w:val="007F0E6F"/>
    <w:rsid w:val="007F1297"/>
    <w:rsid w:val="007F1328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5F71"/>
    <w:rsid w:val="008163A2"/>
    <w:rsid w:val="008163C4"/>
    <w:rsid w:val="00816704"/>
    <w:rsid w:val="008167AA"/>
    <w:rsid w:val="00816908"/>
    <w:rsid w:val="00816CC8"/>
    <w:rsid w:val="00816CF9"/>
    <w:rsid w:val="008174C8"/>
    <w:rsid w:val="008175D9"/>
    <w:rsid w:val="008177A0"/>
    <w:rsid w:val="00820500"/>
    <w:rsid w:val="00820794"/>
    <w:rsid w:val="00821E67"/>
    <w:rsid w:val="0082274D"/>
    <w:rsid w:val="00823883"/>
    <w:rsid w:val="00823C53"/>
    <w:rsid w:val="00824755"/>
    <w:rsid w:val="0082483D"/>
    <w:rsid w:val="00824E5C"/>
    <w:rsid w:val="00825174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318"/>
    <w:rsid w:val="00842D50"/>
    <w:rsid w:val="0084398A"/>
    <w:rsid w:val="00843DEA"/>
    <w:rsid w:val="00845643"/>
    <w:rsid w:val="00846D01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448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3D5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6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4B6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0B77"/>
    <w:rsid w:val="008A1133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384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5DC7"/>
    <w:rsid w:val="008F62CA"/>
    <w:rsid w:val="008F67E3"/>
    <w:rsid w:val="008F6807"/>
    <w:rsid w:val="008F6D5B"/>
    <w:rsid w:val="008F76B9"/>
    <w:rsid w:val="008F7A89"/>
    <w:rsid w:val="008F7F52"/>
    <w:rsid w:val="00900175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C67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4BE3"/>
    <w:rsid w:val="009169E8"/>
    <w:rsid w:val="00916E24"/>
    <w:rsid w:val="00917E1A"/>
    <w:rsid w:val="0092004C"/>
    <w:rsid w:val="00920582"/>
    <w:rsid w:val="00920FF7"/>
    <w:rsid w:val="00921113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9F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5FA"/>
    <w:rsid w:val="0094495D"/>
    <w:rsid w:val="00944ADA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0D0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444A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D79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554"/>
    <w:rsid w:val="00986766"/>
    <w:rsid w:val="009867CF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86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4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1D23"/>
    <w:rsid w:val="009D279D"/>
    <w:rsid w:val="009D3098"/>
    <w:rsid w:val="009D3534"/>
    <w:rsid w:val="009D3C55"/>
    <w:rsid w:val="009D415C"/>
    <w:rsid w:val="009D468D"/>
    <w:rsid w:val="009D4D44"/>
    <w:rsid w:val="009D4F5E"/>
    <w:rsid w:val="009D52CC"/>
    <w:rsid w:val="009D5C14"/>
    <w:rsid w:val="009D6B65"/>
    <w:rsid w:val="009D6E36"/>
    <w:rsid w:val="009D73DA"/>
    <w:rsid w:val="009D74B6"/>
    <w:rsid w:val="009D7E5B"/>
    <w:rsid w:val="009D7E6D"/>
    <w:rsid w:val="009E3328"/>
    <w:rsid w:val="009E36FF"/>
    <w:rsid w:val="009E3869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0F7B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3091"/>
    <w:rsid w:val="00A03B24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26FC"/>
    <w:rsid w:val="00A13BA5"/>
    <w:rsid w:val="00A1518C"/>
    <w:rsid w:val="00A166CB"/>
    <w:rsid w:val="00A16A88"/>
    <w:rsid w:val="00A17ABD"/>
    <w:rsid w:val="00A17CD3"/>
    <w:rsid w:val="00A212DD"/>
    <w:rsid w:val="00A217A0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017"/>
    <w:rsid w:val="00A56554"/>
    <w:rsid w:val="00A56DBA"/>
    <w:rsid w:val="00A6009F"/>
    <w:rsid w:val="00A60598"/>
    <w:rsid w:val="00A616E4"/>
    <w:rsid w:val="00A61C70"/>
    <w:rsid w:val="00A62DB5"/>
    <w:rsid w:val="00A63C9F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145"/>
    <w:rsid w:val="00A77338"/>
    <w:rsid w:val="00A77545"/>
    <w:rsid w:val="00A7772B"/>
    <w:rsid w:val="00A77D4C"/>
    <w:rsid w:val="00A77FC2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1E76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4FE4"/>
    <w:rsid w:val="00AC55EE"/>
    <w:rsid w:val="00AC5985"/>
    <w:rsid w:val="00AC5A26"/>
    <w:rsid w:val="00AC6B22"/>
    <w:rsid w:val="00AC6C95"/>
    <w:rsid w:val="00AC715A"/>
    <w:rsid w:val="00AC7B36"/>
    <w:rsid w:val="00AD0395"/>
    <w:rsid w:val="00AD0EFF"/>
    <w:rsid w:val="00AD173A"/>
    <w:rsid w:val="00AD1BA2"/>
    <w:rsid w:val="00AD296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E7365"/>
    <w:rsid w:val="00AF06EE"/>
    <w:rsid w:val="00AF0CA0"/>
    <w:rsid w:val="00AF0D4D"/>
    <w:rsid w:val="00AF1A7D"/>
    <w:rsid w:val="00AF1F9A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6D68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088"/>
    <w:rsid w:val="00B17254"/>
    <w:rsid w:val="00B17485"/>
    <w:rsid w:val="00B174B1"/>
    <w:rsid w:val="00B175DE"/>
    <w:rsid w:val="00B17D7C"/>
    <w:rsid w:val="00B208AE"/>
    <w:rsid w:val="00B2138A"/>
    <w:rsid w:val="00B218F6"/>
    <w:rsid w:val="00B2238C"/>
    <w:rsid w:val="00B232FB"/>
    <w:rsid w:val="00B2337A"/>
    <w:rsid w:val="00B238F1"/>
    <w:rsid w:val="00B238F4"/>
    <w:rsid w:val="00B23DAD"/>
    <w:rsid w:val="00B2445A"/>
    <w:rsid w:val="00B24A41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5C6B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8D1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35CF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0DCC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343"/>
    <w:rsid w:val="00B81E39"/>
    <w:rsid w:val="00B81F52"/>
    <w:rsid w:val="00B81F91"/>
    <w:rsid w:val="00B81FD0"/>
    <w:rsid w:val="00B82A21"/>
    <w:rsid w:val="00B82CBC"/>
    <w:rsid w:val="00B82F14"/>
    <w:rsid w:val="00B83D46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28B2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2B4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6E1D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5B9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4D8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4F8D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4B5"/>
    <w:rsid w:val="00C45B86"/>
    <w:rsid w:val="00C469EF"/>
    <w:rsid w:val="00C46B17"/>
    <w:rsid w:val="00C46DF7"/>
    <w:rsid w:val="00C476A3"/>
    <w:rsid w:val="00C50C85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575BA"/>
    <w:rsid w:val="00C602E5"/>
    <w:rsid w:val="00C60303"/>
    <w:rsid w:val="00C60762"/>
    <w:rsid w:val="00C6111E"/>
    <w:rsid w:val="00C6277B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15A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5B"/>
    <w:rsid w:val="00C91EB1"/>
    <w:rsid w:val="00C9368D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4691"/>
    <w:rsid w:val="00CA5C45"/>
    <w:rsid w:val="00CA68BC"/>
    <w:rsid w:val="00CA6A38"/>
    <w:rsid w:val="00CA73DC"/>
    <w:rsid w:val="00CA7CED"/>
    <w:rsid w:val="00CB0222"/>
    <w:rsid w:val="00CB09D3"/>
    <w:rsid w:val="00CB1675"/>
    <w:rsid w:val="00CB1C22"/>
    <w:rsid w:val="00CB3979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8B4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035"/>
    <w:rsid w:val="00CF2507"/>
    <w:rsid w:val="00CF2679"/>
    <w:rsid w:val="00CF3111"/>
    <w:rsid w:val="00CF34F0"/>
    <w:rsid w:val="00CF362A"/>
    <w:rsid w:val="00CF4329"/>
    <w:rsid w:val="00CF444F"/>
    <w:rsid w:val="00CF4701"/>
    <w:rsid w:val="00CF5CCB"/>
    <w:rsid w:val="00CF645D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0752C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2D77"/>
    <w:rsid w:val="00D43838"/>
    <w:rsid w:val="00D438E7"/>
    <w:rsid w:val="00D448DE"/>
    <w:rsid w:val="00D454A4"/>
    <w:rsid w:val="00D466A2"/>
    <w:rsid w:val="00D47046"/>
    <w:rsid w:val="00D5043B"/>
    <w:rsid w:val="00D50B8E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87BB7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6E4"/>
    <w:rsid w:val="00DA2924"/>
    <w:rsid w:val="00DA2D47"/>
    <w:rsid w:val="00DA31EC"/>
    <w:rsid w:val="00DA404D"/>
    <w:rsid w:val="00DA448E"/>
    <w:rsid w:val="00DA4815"/>
    <w:rsid w:val="00DA4CA3"/>
    <w:rsid w:val="00DA545A"/>
    <w:rsid w:val="00DA59C9"/>
    <w:rsid w:val="00DA67DD"/>
    <w:rsid w:val="00DA6F22"/>
    <w:rsid w:val="00DB04B6"/>
    <w:rsid w:val="00DB077C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5E2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146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8AA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4F95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1116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0D3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411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48CE"/>
    <w:rsid w:val="00E46025"/>
    <w:rsid w:val="00E47569"/>
    <w:rsid w:val="00E47FCC"/>
    <w:rsid w:val="00E50845"/>
    <w:rsid w:val="00E50990"/>
    <w:rsid w:val="00E50A94"/>
    <w:rsid w:val="00E50AC1"/>
    <w:rsid w:val="00E51459"/>
    <w:rsid w:val="00E515B0"/>
    <w:rsid w:val="00E524F3"/>
    <w:rsid w:val="00E525F9"/>
    <w:rsid w:val="00E532D1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8BD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5AD"/>
    <w:rsid w:val="00E866F5"/>
    <w:rsid w:val="00E86709"/>
    <w:rsid w:val="00E872FC"/>
    <w:rsid w:val="00E879F0"/>
    <w:rsid w:val="00E90848"/>
    <w:rsid w:val="00E91145"/>
    <w:rsid w:val="00E91470"/>
    <w:rsid w:val="00E926BA"/>
    <w:rsid w:val="00E92FA7"/>
    <w:rsid w:val="00E9391F"/>
    <w:rsid w:val="00E94671"/>
    <w:rsid w:val="00E94AF1"/>
    <w:rsid w:val="00E95FD0"/>
    <w:rsid w:val="00E963F2"/>
    <w:rsid w:val="00E9662F"/>
    <w:rsid w:val="00E96681"/>
    <w:rsid w:val="00E96B72"/>
    <w:rsid w:val="00E96FBD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2474"/>
    <w:rsid w:val="00EB29BA"/>
    <w:rsid w:val="00EB3D72"/>
    <w:rsid w:val="00EB40C3"/>
    <w:rsid w:val="00EB41F6"/>
    <w:rsid w:val="00EB4D33"/>
    <w:rsid w:val="00EB5883"/>
    <w:rsid w:val="00EB6A35"/>
    <w:rsid w:val="00EB7143"/>
    <w:rsid w:val="00EB71C0"/>
    <w:rsid w:val="00EC213C"/>
    <w:rsid w:val="00EC2B19"/>
    <w:rsid w:val="00EC4250"/>
    <w:rsid w:val="00EC43EF"/>
    <w:rsid w:val="00EC4BA1"/>
    <w:rsid w:val="00EC555F"/>
    <w:rsid w:val="00EC599C"/>
    <w:rsid w:val="00EC6832"/>
    <w:rsid w:val="00EC7AB9"/>
    <w:rsid w:val="00ED0328"/>
    <w:rsid w:val="00ED07F9"/>
    <w:rsid w:val="00ED081A"/>
    <w:rsid w:val="00ED0D9F"/>
    <w:rsid w:val="00ED1258"/>
    <w:rsid w:val="00ED12E6"/>
    <w:rsid w:val="00ED15BC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B76"/>
    <w:rsid w:val="00EE1FAC"/>
    <w:rsid w:val="00EE3461"/>
    <w:rsid w:val="00EE3A32"/>
    <w:rsid w:val="00EE3FC9"/>
    <w:rsid w:val="00EE58C9"/>
    <w:rsid w:val="00EE59E8"/>
    <w:rsid w:val="00EE5E3A"/>
    <w:rsid w:val="00EE61AE"/>
    <w:rsid w:val="00EE6B8F"/>
    <w:rsid w:val="00EF0309"/>
    <w:rsid w:val="00EF140A"/>
    <w:rsid w:val="00EF15F6"/>
    <w:rsid w:val="00EF1B9A"/>
    <w:rsid w:val="00EF1E32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0D53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271ED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0A0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569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0669"/>
    <w:rsid w:val="00FB160E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57B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77E"/>
    <w:rsid w:val="00FD49DE"/>
    <w:rsid w:val="00FD53C6"/>
    <w:rsid w:val="00FD5D49"/>
    <w:rsid w:val="00FD751D"/>
    <w:rsid w:val="00FD7716"/>
    <w:rsid w:val="00FD7D68"/>
    <w:rsid w:val="00FE0406"/>
    <w:rsid w:val="00FE040B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3833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34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19092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1339</cp:revision>
  <cp:lastPrinted>2022-09-23T09:57:00Z</cp:lastPrinted>
  <dcterms:created xsi:type="dcterms:W3CDTF">2015-09-22T09:59:00Z</dcterms:created>
  <dcterms:modified xsi:type="dcterms:W3CDTF">2022-09-23T10:50:00Z</dcterms:modified>
</cp:coreProperties>
</file>