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6" w:rsidRPr="00DF70AD" w:rsidRDefault="00980636" w:rsidP="0098063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1190" cy="5988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636" w:rsidRPr="00DF70AD" w:rsidRDefault="00980636" w:rsidP="00980636">
      <w:pPr>
        <w:jc w:val="center"/>
        <w:rPr>
          <w:sz w:val="24"/>
          <w:szCs w:val="24"/>
        </w:rPr>
      </w:pPr>
    </w:p>
    <w:p w:rsidR="00980636" w:rsidRPr="00980636" w:rsidRDefault="00980636" w:rsidP="00980636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t>КОНТРОЛЬНО-СЧЕТНЫЙ ОРГАН</w:t>
      </w:r>
    </w:p>
    <w:p w:rsidR="00980636" w:rsidRPr="00980636" w:rsidRDefault="00980636" w:rsidP="00980636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«МУНИЦИПАЛЬНЫЙ ОКРУГ </w:t>
      </w:r>
    </w:p>
    <w:p w:rsidR="00980636" w:rsidRPr="00980636" w:rsidRDefault="00980636" w:rsidP="00980636">
      <w:pPr>
        <w:tabs>
          <w:tab w:val="left" w:pos="6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>КАРАКУЛИНСКИЙ РАЙОН УДМУРТСКОЙ РЕСПУБЛИКИ»</w:t>
      </w:r>
    </w:p>
    <w:p w:rsidR="00980636" w:rsidRPr="00980636" w:rsidRDefault="00980636" w:rsidP="00980636">
      <w:pPr>
        <w:tabs>
          <w:tab w:val="left" w:pos="6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636" w:rsidRPr="00980636" w:rsidRDefault="00980636" w:rsidP="009806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>«УДМУРТ ЭЛЬКУНЫСЬ КАРАКУЛИНО</w:t>
      </w:r>
      <w:r w:rsidRPr="00980636">
        <w:rPr>
          <w:rFonts w:ascii="Times New Roman" w:eastAsia="Arial" w:hAnsi="Times New Roman" w:cs="Times New Roman"/>
          <w:b/>
          <w:sz w:val="24"/>
          <w:szCs w:val="24"/>
        </w:rPr>
        <w:t xml:space="preserve"> ЁРОС </w:t>
      </w:r>
      <w:r w:rsidRPr="0098063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 ОКРУГ» </w:t>
      </w:r>
    </w:p>
    <w:p w:rsidR="00980636" w:rsidRPr="00DF70AD" w:rsidRDefault="00980636" w:rsidP="0098063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80636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 КЫЛДЫТЭТЫСЬ </w:t>
      </w:r>
      <w:r w:rsidRPr="00980636">
        <w:rPr>
          <w:rFonts w:ascii="Times New Roman" w:hAnsi="Times New Roman" w:cs="Times New Roman"/>
          <w:b/>
          <w:sz w:val="24"/>
          <w:szCs w:val="24"/>
        </w:rPr>
        <w:t>ЭСКЕРОН-ЛЫДЪЯНЪЯ ЁЗЭСЭЗ</w:t>
      </w:r>
    </w:p>
    <w:p w:rsidR="00980636" w:rsidRPr="001E5F17" w:rsidRDefault="00980636" w:rsidP="00980636">
      <w:pPr>
        <w:tabs>
          <w:tab w:val="left" w:pos="6795"/>
        </w:tabs>
        <w:jc w:val="center"/>
        <w:rPr>
          <w:b/>
          <w:sz w:val="24"/>
          <w:szCs w:val="24"/>
          <w:lang w:val="en-US"/>
        </w:rPr>
      </w:pPr>
    </w:p>
    <w:p w:rsidR="00E12AB2" w:rsidRPr="001E5F17" w:rsidRDefault="00E12AB2" w:rsidP="00E12AB2">
      <w:pPr>
        <w:pStyle w:val="ConsPlusNormal"/>
        <w:ind w:firstLine="709"/>
        <w:jc w:val="both"/>
        <w:rPr>
          <w:lang w:val="en-US"/>
        </w:rPr>
      </w:pPr>
    </w:p>
    <w:tbl>
      <w:tblPr>
        <w:tblW w:w="0" w:type="auto"/>
        <w:tblLook w:val="01E0"/>
      </w:tblPr>
      <w:tblGrid>
        <w:gridCol w:w="4795"/>
        <w:gridCol w:w="4776"/>
      </w:tblGrid>
      <w:tr w:rsidR="00E12AB2" w:rsidRPr="00E5262A" w:rsidTr="00E12AB2">
        <w:tc>
          <w:tcPr>
            <w:tcW w:w="4795" w:type="dxa"/>
            <w:shd w:val="clear" w:color="auto" w:fill="auto"/>
          </w:tcPr>
          <w:p w:rsidR="00E12AB2" w:rsidRPr="00F270BF" w:rsidRDefault="00E12AB2" w:rsidP="00467CA4">
            <w:pPr>
              <w:pStyle w:val="4"/>
              <w:rPr>
                <w:sz w:val="24"/>
              </w:rPr>
            </w:pPr>
            <w:r w:rsidRPr="00F270BF">
              <w:rPr>
                <w:sz w:val="24"/>
              </w:rPr>
              <w:t xml:space="preserve">От </w:t>
            </w:r>
            <w:r w:rsidR="00467CA4">
              <w:rPr>
                <w:sz w:val="24"/>
              </w:rPr>
              <w:t>08</w:t>
            </w:r>
            <w:r>
              <w:rPr>
                <w:sz w:val="24"/>
              </w:rPr>
              <w:t>.0</w:t>
            </w:r>
            <w:r w:rsidR="00467CA4">
              <w:rPr>
                <w:sz w:val="24"/>
              </w:rPr>
              <w:t>8</w:t>
            </w:r>
            <w:r w:rsidRPr="00F270BF">
              <w:rPr>
                <w:sz w:val="24"/>
              </w:rPr>
              <w:t>.20</w:t>
            </w:r>
            <w:r>
              <w:rPr>
                <w:sz w:val="24"/>
              </w:rPr>
              <w:t>2</w:t>
            </w:r>
            <w:r w:rsidR="00980636">
              <w:rPr>
                <w:sz w:val="24"/>
              </w:rPr>
              <w:t>2</w:t>
            </w:r>
            <w:r w:rsidRPr="00F270BF">
              <w:rPr>
                <w:sz w:val="24"/>
              </w:rPr>
              <w:t xml:space="preserve"> № </w:t>
            </w:r>
            <w:r w:rsidR="00467CA4">
              <w:rPr>
                <w:sz w:val="24"/>
              </w:rPr>
              <w:t>38</w:t>
            </w:r>
            <w:r w:rsidR="00FC1009">
              <w:rPr>
                <w:sz w:val="24"/>
              </w:rPr>
              <w:t>/01-</w:t>
            </w:r>
            <w:r w:rsidR="00980636">
              <w:rPr>
                <w:sz w:val="24"/>
              </w:rPr>
              <w:t>15</w:t>
            </w:r>
            <w:r>
              <w:rPr>
                <w:sz w:val="24"/>
              </w:rPr>
              <w:t>-202</w:t>
            </w:r>
            <w:r w:rsidR="00980636">
              <w:rPr>
                <w:sz w:val="24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E12AB2" w:rsidRPr="00F270BF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B2" w:rsidRPr="00580264" w:rsidTr="00E12AB2">
        <w:tc>
          <w:tcPr>
            <w:tcW w:w="9571" w:type="dxa"/>
            <w:gridSpan w:val="2"/>
            <w:shd w:val="clear" w:color="auto" w:fill="auto"/>
          </w:tcPr>
          <w:p w:rsidR="00E12AB2" w:rsidRPr="00580264" w:rsidRDefault="00E12AB2" w:rsidP="00980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записка об исполнении бюджета муниципального образования «</w:t>
            </w:r>
            <w:r w:rsidR="0098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Каракулинский район</w:t>
            </w:r>
            <w:r w:rsidR="00980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Удмуртской Республики»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1 квартал 202</w:t>
            </w:r>
            <w:r w:rsidR="009806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</w:tc>
      </w:tr>
    </w:tbl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E12AB2" w:rsidRDefault="00E12AB2" w:rsidP="00E12AB2">
      <w:pPr>
        <w:pStyle w:val="ConsPlusNormal"/>
        <w:ind w:firstLine="709"/>
        <w:jc w:val="both"/>
      </w:pPr>
      <w:r w:rsidRPr="00E12AB2">
        <w:t>В соответствии</w:t>
      </w:r>
      <w:r w:rsidRPr="00E12AB2">
        <w:rPr>
          <w:b/>
        </w:rPr>
        <w:t xml:space="preserve"> </w:t>
      </w:r>
      <w:r w:rsidRPr="00E12AB2">
        <w:t>с</w:t>
      </w:r>
      <w:r w:rsidRPr="00E12AB2">
        <w:rPr>
          <w:b/>
        </w:rPr>
        <w:t xml:space="preserve"> </w:t>
      </w:r>
      <w:r w:rsidRPr="00E12AB2">
        <w:t>Положением о Контрольно-счетном органе муниципального образования «</w:t>
      </w:r>
      <w:r w:rsidR="00980636">
        <w:t xml:space="preserve">Муниципальный округ </w:t>
      </w:r>
      <w:r w:rsidRPr="00E12AB2">
        <w:t>Каракулинский район</w:t>
      </w:r>
      <w:r w:rsidR="00980636">
        <w:t xml:space="preserve"> Удмуртской Республики</w:t>
      </w:r>
      <w:r w:rsidRPr="00E12AB2">
        <w:t>», планом работы Контрольно-счетного органа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E12AB2">
        <w:t>» на 202</w:t>
      </w:r>
      <w:r w:rsidR="00980636">
        <w:t>2</w:t>
      </w:r>
      <w:r w:rsidRPr="00E12AB2">
        <w:t xml:space="preserve"> год проведен анализ исполнения бюджета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E12AB2">
        <w:t>» за 1 квартал 202</w:t>
      </w:r>
      <w:r w:rsidR="00980636">
        <w:t>2</w:t>
      </w:r>
      <w:r w:rsidRPr="00E12AB2">
        <w:t xml:space="preserve"> года на основании «Отчета об исполнении бюджета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Республики» за 1 квартал 2022</w:t>
      </w:r>
      <w:r w:rsidRPr="00E12AB2">
        <w:t xml:space="preserve"> года», муниципальных правовых актов и иных распорядительных документов, обосновывающие действия со средствами бюджета 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E12AB2">
        <w:t>».</w:t>
      </w:r>
    </w:p>
    <w:p w:rsidR="00E12AB2" w:rsidRDefault="00E12AB2" w:rsidP="001E6B2F">
      <w:pPr>
        <w:pStyle w:val="ConsPlusNormal"/>
      </w:pPr>
      <w:r w:rsidRPr="00D86FB2">
        <w:t>Проверяемый период: с 01.01.20</w:t>
      </w:r>
      <w:r>
        <w:t>2</w:t>
      </w:r>
      <w:r w:rsidR="00980636">
        <w:t>2</w:t>
      </w:r>
      <w:r>
        <w:t xml:space="preserve"> по 31</w:t>
      </w:r>
      <w:r w:rsidRPr="00D86FB2">
        <w:t>.</w:t>
      </w:r>
      <w:r>
        <w:t>03</w:t>
      </w:r>
      <w:r w:rsidRPr="00D86FB2">
        <w:t>.20</w:t>
      </w:r>
      <w:r w:rsidR="00980636">
        <w:t>22</w:t>
      </w:r>
      <w:r>
        <w:t>г</w:t>
      </w:r>
    </w:p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E12AB2" w:rsidRDefault="00E12AB2" w:rsidP="00E12AB2">
      <w:pPr>
        <w:pStyle w:val="ConsPlusNormal"/>
        <w:ind w:firstLine="709"/>
        <w:jc w:val="both"/>
      </w:pPr>
      <w:r>
        <w:t>Отчет об исполнении бюджета муниципального образования</w:t>
      </w:r>
      <w:r w:rsidRPr="00753951">
        <w:rPr>
          <w:color w:val="FF0000"/>
        </w:rPr>
        <w:t xml:space="preserve"> </w:t>
      </w:r>
      <w:r w:rsidRPr="00B44521">
        <w:t>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Pr="00B44521">
        <w:t>» за 1 квартал 20</w:t>
      </w:r>
      <w:r>
        <w:t>2</w:t>
      </w:r>
      <w:r w:rsidR="00980636">
        <w:t>2</w:t>
      </w:r>
      <w:r w:rsidRPr="00B44521">
        <w:t xml:space="preserve"> года утвержден постановлением Администрации муниципального образования «Каракулинский район» от </w:t>
      </w:r>
      <w:r w:rsidR="00327612">
        <w:t>10 июня 2022 года №694</w:t>
      </w:r>
      <w:r>
        <w:t xml:space="preserve"> </w:t>
      </w:r>
      <w:r w:rsidRPr="001E6B2F">
        <w:t>и направлен в Совет депутатов муниципального образования «</w:t>
      </w:r>
      <w:r w:rsidR="00467CA4">
        <w:t xml:space="preserve">Муниципальный округ </w:t>
      </w:r>
      <w:r w:rsidR="00467CA4" w:rsidRPr="00E12AB2">
        <w:t>Каракулинский район</w:t>
      </w:r>
      <w:r w:rsidR="00467CA4">
        <w:t xml:space="preserve"> Удмуртской Республики</w:t>
      </w:r>
      <w:r w:rsidRPr="001E6B2F">
        <w:t xml:space="preserve">» в соответствии со </w:t>
      </w:r>
      <w:r w:rsidRPr="00327612">
        <w:t>ст.1</w:t>
      </w:r>
      <w:r w:rsidR="00327612">
        <w:t>8</w:t>
      </w:r>
      <w:r w:rsidRPr="001E6B2F">
        <w:t xml:space="preserve"> Положения о бюджетном процессе в муниципальном образовании «</w:t>
      </w:r>
      <w:r w:rsidR="00467CA4">
        <w:t xml:space="preserve">Муниципальный округ </w:t>
      </w:r>
      <w:r w:rsidR="00467CA4" w:rsidRPr="00E12AB2">
        <w:t>Каракулинский район</w:t>
      </w:r>
      <w:r w:rsidR="00467CA4">
        <w:t xml:space="preserve"> Удмуртской Республики</w:t>
      </w:r>
      <w:r w:rsidRPr="001E6B2F">
        <w:t>».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1E6B2F" w:rsidRDefault="00032993" w:rsidP="001E6B2F">
      <w:pPr>
        <w:pStyle w:val="ConsPlusNormal"/>
        <w:ind w:firstLine="709"/>
      </w:pPr>
      <w:r>
        <w:t>Постановление Администрации муниципального образования «</w:t>
      </w:r>
      <w:r w:rsidR="00467CA4">
        <w:t xml:space="preserve">Муниципальный округ </w:t>
      </w:r>
      <w:r w:rsidR="00467CA4" w:rsidRPr="00E12AB2">
        <w:t>Каракулинский район</w:t>
      </w:r>
      <w:r w:rsidR="00467CA4">
        <w:t xml:space="preserve"> Удмуртской Республики</w:t>
      </w:r>
      <w:r>
        <w:t xml:space="preserve">» от </w:t>
      </w:r>
      <w:r w:rsidR="00327612">
        <w:t>10 июня 2022 года №694</w:t>
      </w:r>
      <w:r>
        <w:t>.</w:t>
      </w:r>
    </w:p>
    <w:p w:rsidR="00E12AB2" w:rsidRPr="00D62DEC" w:rsidRDefault="00E12AB2" w:rsidP="00032993">
      <w:pPr>
        <w:pStyle w:val="ConsPlusNormal"/>
      </w:pPr>
      <w:r w:rsidRPr="00D62DEC">
        <w:t xml:space="preserve">Источник исходных данных: Администрация </w:t>
      </w:r>
      <w:r w:rsidR="00032993">
        <w:t>муниципального образования «</w:t>
      </w:r>
      <w:r w:rsidR="00980636">
        <w:t xml:space="preserve">Муниципальный округ </w:t>
      </w:r>
      <w:r w:rsidR="00980636" w:rsidRPr="00E12AB2">
        <w:t>Каракулинский район</w:t>
      </w:r>
      <w:r w:rsidR="00980636">
        <w:t xml:space="preserve"> Удмуртской Республики</w:t>
      </w:r>
      <w:r w:rsidR="00032993">
        <w:t>»</w:t>
      </w:r>
      <w:r w:rsidRPr="00D62DEC">
        <w:t xml:space="preserve">, Управление финансов </w:t>
      </w:r>
      <w:r w:rsidR="00032993">
        <w:t xml:space="preserve"> Администрации муниципального образования «</w:t>
      </w:r>
      <w:r w:rsidR="00980636">
        <w:t xml:space="preserve">Муниципальный округ </w:t>
      </w:r>
      <w:r w:rsidR="00980636" w:rsidRPr="00E12AB2">
        <w:lastRenderedPageBreak/>
        <w:t>Каракулинский район</w:t>
      </w:r>
      <w:r w:rsidR="00980636">
        <w:t xml:space="preserve"> Удмуртской Республики</w:t>
      </w:r>
      <w:r w:rsidR="00032993">
        <w:t>»</w:t>
      </w:r>
      <w:r w:rsidRPr="00D62DEC">
        <w:t>, адрес местонахождения и осуществления деятельности: 4279</w:t>
      </w:r>
      <w:r w:rsidR="00032993">
        <w:t>2</w:t>
      </w:r>
      <w:r w:rsidRPr="00D62DEC">
        <w:t xml:space="preserve">0, Удмуртская Республика, </w:t>
      </w:r>
      <w:r w:rsidR="00032993">
        <w:t>с</w:t>
      </w:r>
      <w:r w:rsidRPr="00D62DEC">
        <w:t xml:space="preserve">. </w:t>
      </w:r>
      <w:r w:rsidR="00032993">
        <w:t>Каракулино</w:t>
      </w:r>
      <w:r w:rsidRPr="00D62DEC">
        <w:t xml:space="preserve">, </w:t>
      </w:r>
      <w:r w:rsidR="00032993">
        <w:t>ул. Каманина</w:t>
      </w:r>
      <w:r w:rsidRPr="00D62DEC">
        <w:t xml:space="preserve">, </w:t>
      </w:r>
      <w:r w:rsidR="00032993">
        <w:t>10</w:t>
      </w:r>
      <w:r w:rsidRPr="00D62DEC">
        <w:t>.</w:t>
      </w:r>
    </w:p>
    <w:p w:rsidR="00E12AB2" w:rsidRPr="00050A61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7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осуществления бюджетного процесса в </w:t>
      </w:r>
      <w:r w:rsidR="00A0489F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67CA4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C02AAB">
        <w:rPr>
          <w:rFonts w:ascii="Times New Roman" w:hAnsi="Times New Roman" w:cs="Times New Roman"/>
          <w:b/>
          <w:sz w:val="24"/>
          <w:szCs w:val="24"/>
        </w:rPr>
        <w:t>Каракулинский район</w:t>
      </w:r>
      <w:r w:rsidR="00467CA4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C02AAB">
        <w:rPr>
          <w:rFonts w:ascii="Times New Roman" w:hAnsi="Times New Roman" w:cs="Times New Roman"/>
          <w:b/>
          <w:sz w:val="24"/>
          <w:szCs w:val="24"/>
        </w:rPr>
        <w:t>»</w:t>
      </w:r>
      <w:r w:rsidR="00467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A61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0636">
        <w:rPr>
          <w:rFonts w:ascii="Times New Roman" w:hAnsi="Times New Roman" w:cs="Times New Roman"/>
          <w:b/>
          <w:sz w:val="24"/>
          <w:szCs w:val="24"/>
        </w:rPr>
        <w:t>2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050A61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0636">
        <w:rPr>
          <w:rFonts w:ascii="Times New Roman" w:hAnsi="Times New Roman" w:cs="Times New Roman"/>
          <w:sz w:val="24"/>
          <w:szCs w:val="24"/>
        </w:rPr>
        <w:t>2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sz w:val="24"/>
          <w:szCs w:val="24"/>
        </w:rPr>
        <w:t xml:space="preserve"> «</w:t>
      </w:r>
      <w:r w:rsidR="00980636" w:rsidRPr="00980636">
        <w:rPr>
          <w:rFonts w:ascii="Times New Roman" w:hAnsi="Times New Roman" w:cs="Times New Roman"/>
        </w:rPr>
        <w:t>Муниципальный округ Каракулинский район Удмуртской Республики</w:t>
      </w:r>
      <w:r w:rsidR="00C02AAB">
        <w:rPr>
          <w:rFonts w:ascii="Times New Roman" w:hAnsi="Times New Roman" w:cs="Times New Roman"/>
          <w:sz w:val="24"/>
          <w:szCs w:val="24"/>
        </w:rPr>
        <w:t>»</w:t>
      </w:r>
      <w:r w:rsidRPr="00050A6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с: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E12AB2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от </w:t>
      </w:r>
      <w:r w:rsidR="00A0489F">
        <w:rPr>
          <w:rFonts w:ascii="Times New Roman" w:hAnsi="Times New Roman" w:cs="Times New Roman"/>
          <w:sz w:val="24"/>
          <w:szCs w:val="24"/>
        </w:rPr>
        <w:t>13</w:t>
      </w:r>
      <w:r w:rsidRPr="00050A61">
        <w:rPr>
          <w:rFonts w:ascii="Times New Roman" w:hAnsi="Times New Roman" w:cs="Times New Roman"/>
          <w:sz w:val="24"/>
          <w:szCs w:val="24"/>
        </w:rPr>
        <w:t>.</w:t>
      </w:r>
      <w:r w:rsidR="00A0489F">
        <w:rPr>
          <w:rFonts w:ascii="Times New Roman" w:hAnsi="Times New Roman" w:cs="Times New Roman"/>
          <w:sz w:val="24"/>
          <w:szCs w:val="24"/>
        </w:rPr>
        <w:t>07</w:t>
      </w:r>
      <w:r w:rsidRPr="00050A61">
        <w:rPr>
          <w:rFonts w:ascii="Times New Roman" w:hAnsi="Times New Roman" w:cs="Times New Roman"/>
          <w:sz w:val="24"/>
          <w:szCs w:val="24"/>
        </w:rPr>
        <w:t>.200</w:t>
      </w:r>
      <w:r w:rsidR="00A0489F">
        <w:rPr>
          <w:rFonts w:ascii="Times New Roman" w:hAnsi="Times New Roman" w:cs="Times New Roman"/>
          <w:sz w:val="24"/>
          <w:szCs w:val="24"/>
        </w:rPr>
        <w:t>5</w:t>
      </w:r>
      <w:r w:rsidRPr="00050A61">
        <w:rPr>
          <w:rFonts w:ascii="Times New Roman" w:hAnsi="Times New Roman" w:cs="Times New Roman"/>
          <w:sz w:val="24"/>
          <w:szCs w:val="24"/>
        </w:rPr>
        <w:t xml:space="preserve"> № </w:t>
      </w:r>
      <w:r w:rsidR="00A0489F">
        <w:rPr>
          <w:rFonts w:ascii="Times New Roman" w:hAnsi="Times New Roman" w:cs="Times New Roman"/>
          <w:sz w:val="24"/>
          <w:szCs w:val="24"/>
        </w:rPr>
        <w:t>4</w:t>
      </w:r>
      <w:r w:rsidRPr="00050A61">
        <w:rPr>
          <w:rFonts w:ascii="Times New Roman" w:hAnsi="Times New Roman" w:cs="Times New Roman"/>
          <w:sz w:val="24"/>
          <w:szCs w:val="24"/>
        </w:rPr>
        <w:t>2-РЗ</w:t>
      </w:r>
      <w:r w:rsidR="00154ABE">
        <w:rPr>
          <w:rFonts w:ascii="Times New Roman" w:hAnsi="Times New Roman" w:cs="Times New Roman"/>
          <w:sz w:val="24"/>
          <w:szCs w:val="24"/>
        </w:rPr>
        <w:t xml:space="preserve"> </w:t>
      </w:r>
      <w:r w:rsidR="00154ABE" w:rsidRPr="001C7DCD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154ABE">
        <w:rPr>
          <w:rFonts w:ascii="Times New Roman" w:hAnsi="Times New Roman" w:cs="Times New Roman"/>
          <w:sz w:val="24"/>
          <w:szCs w:val="24"/>
        </w:rPr>
        <w:t>15</w:t>
      </w:r>
      <w:r w:rsidR="00154ABE" w:rsidRPr="001C7DCD">
        <w:rPr>
          <w:rFonts w:ascii="Times New Roman" w:hAnsi="Times New Roman" w:cs="Times New Roman"/>
          <w:sz w:val="24"/>
          <w:szCs w:val="24"/>
        </w:rPr>
        <w:t>.0</w:t>
      </w:r>
      <w:r w:rsidR="00154ABE">
        <w:rPr>
          <w:rFonts w:ascii="Times New Roman" w:hAnsi="Times New Roman" w:cs="Times New Roman"/>
          <w:sz w:val="24"/>
          <w:szCs w:val="24"/>
        </w:rPr>
        <w:t>6</w:t>
      </w:r>
      <w:r w:rsidR="00154ABE" w:rsidRPr="001C7DCD">
        <w:rPr>
          <w:rFonts w:ascii="Times New Roman" w:hAnsi="Times New Roman" w:cs="Times New Roman"/>
          <w:sz w:val="24"/>
          <w:szCs w:val="24"/>
        </w:rPr>
        <w:t>.202</w:t>
      </w:r>
      <w:r w:rsidR="00154ABE">
        <w:rPr>
          <w:rFonts w:ascii="Times New Roman" w:hAnsi="Times New Roman" w:cs="Times New Roman"/>
          <w:sz w:val="24"/>
          <w:szCs w:val="24"/>
        </w:rPr>
        <w:t>2</w:t>
      </w:r>
      <w:r w:rsidR="00154ABE" w:rsidRPr="001C7DCD">
        <w:rPr>
          <w:rFonts w:ascii="Times New Roman" w:hAnsi="Times New Roman" w:cs="Times New Roman"/>
          <w:sz w:val="24"/>
          <w:szCs w:val="24"/>
        </w:rPr>
        <w:t xml:space="preserve">) </w:t>
      </w:r>
      <w:r w:rsidRPr="00050A61">
        <w:rPr>
          <w:rFonts w:ascii="Times New Roman" w:hAnsi="Times New Roman" w:cs="Times New Roman"/>
          <w:sz w:val="24"/>
          <w:szCs w:val="24"/>
        </w:rPr>
        <w:t>«О регулировании межбюджетных отношений в Удмуртской Республике»,</w:t>
      </w:r>
    </w:p>
    <w:p w:rsidR="00E12AB2" w:rsidRPr="001C7DCD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7DCD">
        <w:rPr>
          <w:rFonts w:ascii="Times New Roman" w:hAnsi="Times New Roman" w:cs="Times New Roman"/>
          <w:sz w:val="24"/>
          <w:szCs w:val="24"/>
        </w:rPr>
        <w:t>от 2</w:t>
      </w:r>
      <w:r w:rsidR="00467CA4">
        <w:rPr>
          <w:rFonts w:ascii="Times New Roman" w:hAnsi="Times New Roman" w:cs="Times New Roman"/>
          <w:sz w:val="24"/>
          <w:szCs w:val="24"/>
        </w:rPr>
        <w:t>7</w:t>
      </w:r>
      <w:r w:rsidRPr="001C7DCD">
        <w:rPr>
          <w:rFonts w:ascii="Times New Roman" w:hAnsi="Times New Roman" w:cs="Times New Roman"/>
          <w:sz w:val="24"/>
          <w:szCs w:val="24"/>
        </w:rPr>
        <w:t>.12.202</w:t>
      </w:r>
      <w:r w:rsidR="00467CA4">
        <w:rPr>
          <w:rFonts w:ascii="Times New Roman" w:hAnsi="Times New Roman" w:cs="Times New Roman"/>
          <w:sz w:val="24"/>
          <w:szCs w:val="24"/>
        </w:rPr>
        <w:t>1</w:t>
      </w:r>
      <w:r w:rsidRPr="001C7DCD">
        <w:rPr>
          <w:rFonts w:ascii="Times New Roman" w:hAnsi="Times New Roman" w:cs="Times New Roman"/>
          <w:sz w:val="24"/>
          <w:szCs w:val="24"/>
        </w:rPr>
        <w:t xml:space="preserve"> N </w:t>
      </w:r>
      <w:r w:rsidR="00467CA4">
        <w:rPr>
          <w:rFonts w:ascii="Times New Roman" w:hAnsi="Times New Roman" w:cs="Times New Roman"/>
          <w:sz w:val="24"/>
          <w:szCs w:val="24"/>
        </w:rPr>
        <w:t>140</w:t>
      </w:r>
      <w:r w:rsidRPr="001C7DCD">
        <w:rPr>
          <w:rFonts w:ascii="Times New Roman" w:hAnsi="Times New Roman" w:cs="Times New Roman"/>
          <w:sz w:val="24"/>
          <w:szCs w:val="24"/>
        </w:rPr>
        <w:t xml:space="preserve">-РЗ (ред. от </w:t>
      </w:r>
      <w:r w:rsidR="00467CA4">
        <w:rPr>
          <w:rFonts w:ascii="Times New Roman" w:hAnsi="Times New Roman" w:cs="Times New Roman"/>
          <w:sz w:val="24"/>
          <w:szCs w:val="24"/>
        </w:rPr>
        <w:t>15</w:t>
      </w:r>
      <w:r w:rsidRPr="001C7DCD">
        <w:rPr>
          <w:rFonts w:ascii="Times New Roman" w:hAnsi="Times New Roman" w:cs="Times New Roman"/>
          <w:sz w:val="24"/>
          <w:szCs w:val="24"/>
        </w:rPr>
        <w:t>.0</w:t>
      </w:r>
      <w:r w:rsidR="00467CA4">
        <w:rPr>
          <w:rFonts w:ascii="Times New Roman" w:hAnsi="Times New Roman" w:cs="Times New Roman"/>
          <w:sz w:val="24"/>
          <w:szCs w:val="24"/>
        </w:rPr>
        <w:t>6</w:t>
      </w:r>
      <w:r w:rsidRPr="001C7DCD">
        <w:rPr>
          <w:rFonts w:ascii="Times New Roman" w:hAnsi="Times New Roman" w:cs="Times New Roman"/>
          <w:sz w:val="24"/>
          <w:szCs w:val="24"/>
        </w:rPr>
        <w:t>.202</w:t>
      </w:r>
      <w:r w:rsidR="00467CA4">
        <w:rPr>
          <w:rFonts w:ascii="Times New Roman" w:hAnsi="Times New Roman" w:cs="Times New Roman"/>
          <w:sz w:val="24"/>
          <w:szCs w:val="24"/>
        </w:rPr>
        <w:t>2</w:t>
      </w:r>
      <w:r w:rsidRPr="001C7DCD">
        <w:rPr>
          <w:rFonts w:ascii="Times New Roman" w:hAnsi="Times New Roman" w:cs="Times New Roman"/>
          <w:sz w:val="24"/>
          <w:szCs w:val="24"/>
        </w:rPr>
        <w:t>) "О бюджете Удмуртской Республики на 202</w:t>
      </w:r>
      <w:r w:rsidR="00467CA4">
        <w:rPr>
          <w:rFonts w:ascii="Times New Roman" w:hAnsi="Times New Roman" w:cs="Times New Roman"/>
          <w:sz w:val="24"/>
          <w:szCs w:val="24"/>
        </w:rPr>
        <w:t>2</w:t>
      </w:r>
      <w:r w:rsidRPr="001C7DCD">
        <w:rPr>
          <w:rFonts w:ascii="Times New Roman" w:hAnsi="Times New Roman" w:cs="Times New Roman"/>
          <w:sz w:val="24"/>
          <w:szCs w:val="24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</w:t>
      </w:r>
      <w:r w:rsidR="00467C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467C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F43261" w:rsidRPr="00F43261" w:rsidRDefault="00E12AB2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9F">
        <w:rPr>
          <w:rFonts w:ascii="Times New Roman" w:hAnsi="Times New Roman" w:cs="Times New Roman"/>
          <w:sz w:val="24"/>
          <w:szCs w:val="24"/>
        </w:rPr>
        <w:t>Уставом</w:t>
      </w:r>
      <w:r w:rsidRPr="00050A61">
        <w:rPr>
          <w:rFonts w:ascii="Times New Roman" w:hAnsi="Times New Roman" w:cs="Times New Roman"/>
          <w:sz w:val="24"/>
          <w:szCs w:val="24"/>
        </w:rPr>
        <w:t xml:space="preserve">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0A61">
        <w:rPr>
          <w:rFonts w:ascii="Times New Roman" w:hAnsi="Times New Roman" w:cs="Times New Roman"/>
          <w:sz w:val="24"/>
          <w:szCs w:val="24"/>
        </w:rPr>
        <w:t xml:space="preserve">, </w:t>
      </w:r>
      <w:r w:rsidR="0062139D">
        <w:rPr>
          <w:rFonts w:ascii="Times New Roman" w:hAnsi="Times New Roman" w:cs="Times New Roman"/>
          <w:sz w:val="24"/>
          <w:szCs w:val="24"/>
        </w:rPr>
        <w:t>«</w:t>
      </w:r>
      <w:r w:rsidR="00980636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62139D" w:rsidRPr="0062139D">
        <w:rPr>
          <w:rFonts w:ascii="Times New Roman" w:hAnsi="Times New Roman" w:cs="Times New Roman"/>
          <w:sz w:val="24"/>
          <w:szCs w:val="24"/>
        </w:rPr>
        <w:t>»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840B2">
        <w:rPr>
          <w:rFonts w:ascii="Times New Roman" w:hAnsi="Times New Roman" w:cs="Times New Roman"/>
          <w:sz w:val="24"/>
          <w:szCs w:val="24"/>
        </w:rPr>
        <w:t>решением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0840B2">
        <w:rPr>
          <w:rFonts w:ascii="Times New Roman" w:hAnsi="Times New Roman" w:cs="Times New Roman"/>
          <w:sz w:val="24"/>
          <w:szCs w:val="24"/>
        </w:rPr>
        <w:t>а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840B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0840B2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840B2">
        <w:rPr>
          <w:rFonts w:ascii="Times New Roman" w:hAnsi="Times New Roman" w:cs="Times New Roman"/>
          <w:sz w:val="24"/>
          <w:szCs w:val="24"/>
        </w:rPr>
        <w:t xml:space="preserve">» 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от </w:t>
      </w:r>
      <w:r w:rsidR="000840B2">
        <w:rPr>
          <w:rFonts w:ascii="Times New Roman" w:hAnsi="Times New Roman" w:cs="Times New Roman"/>
          <w:sz w:val="24"/>
          <w:szCs w:val="24"/>
        </w:rPr>
        <w:t>14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</w:t>
      </w:r>
      <w:r w:rsidR="000840B2">
        <w:rPr>
          <w:rFonts w:ascii="Times New Roman" w:hAnsi="Times New Roman" w:cs="Times New Roman"/>
          <w:sz w:val="24"/>
          <w:szCs w:val="24"/>
        </w:rPr>
        <w:t>декабря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2</w:t>
      </w:r>
      <w:r w:rsidR="000840B2">
        <w:rPr>
          <w:rFonts w:ascii="Times New Roman" w:hAnsi="Times New Roman" w:cs="Times New Roman"/>
          <w:sz w:val="24"/>
          <w:szCs w:val="24"/>
        </w:rPr>
        <w:t>021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г. N 5/</w:t>
      </w:r>
      <w:r w:rsidR="000840B2">
        <w:rPr>
          <w:rFonts w:ascii="Times New Roman" w:hAnsi="Times New Roman" w:cs="Times New Roman"/>
          <w:sz w:val="24"/>
          <w:szCs w:val="24"/>
        </w:rPr>
        <w:t>6</w:t>
      </w:r>
      <w:r w:rsidR="00F43261" w:rsidRPr="00F43261">
        <w:rPr>
          <w:rFonts w:ascii="Times New Roman" w:hAnsi="Times New Roman" w:cs="Times New Roman"/>
          <w:sz w:val="24"/>
          <w:szCs w:val="24"/>
        </w:rPr>
        <w:t>-</w:t>
      </w:r>
      <w:r w:rsidR="000840B2">
        <w:rPr>
          <w:rFonts w:ascii="Times New Roman" w:hAnsi="Times New Roman" w:cs="Times New Roman"/>
          <w:sz w:val="24"/>
          <w:szCs w:val="24"/>
        </w:rPr>
        <w:t>21</w:t>
      </w:r>
    </w:p>
    <w:p w:rsidR="00E12AB2" w:rsidRPr="00050A61" w:rsidRDefault="00F43261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61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  <w:r w:rsidR="00AD1765">
        <w:rPr>
          <w:rFonts w:ascii="Times New Roman" w:hAnsi="Times New Roman" w:cs="Times New Roman"/>
          <w:sz w:val="24"/>
          <w:szCs w:val="24"/>
        </w:rPr>
        <w:t xml:space="preserve">Управлением Министерства юстиции Российской Федерации по </w:t>
      </w:r>
      <w:r w:rsidRPr="00F43261">
        <w:rPr>
          <w:rFonts w:ascii="Times New Roman" w:hAnsi="Times New Roman" w:cs="Times New Roman"/>
          <w:sz w:val="24"/>
          <w:szCs w:val="24"/>
        </w:rPr>
        <w:t xml:space="preserve">Удмуртской Республики от </w:t>
      </w:r>
      <w:r w:rsidR="00AD1765">
        <w:rPr>
          <w:rFonts w:ascii="Times New Roman" w:hAnsi="Times New Roman" w:cs="Times New Roman"/>
          <w:sz w:val="24"/>
          <w:szCs w:val="24"/>
        </w:rPr>
        <w:t>17 декабря 2021</w:t>
      </w:r>
      <w:r w:rsidRPr="00F43261">
        <w:rPr>
          <w:rFonts w:ascii="Times New Roman" w:hAnsi="Times New Roman" w:cs="Times New Roman"/>
          <w:sz w:val="24"/>
          <w:szCs w:val="24"/>
        </w:rPr>
        <w:t xml:space="preserve"> г. N </w:t>
      </w:r>
      <w:r w:rsidR="00AD17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D1765" w:rsidRPr="00542C94">
        <w:rPr>
          <w:rFonts w:ascii="Times New Roman" w:hAnsi="Times New Roman" w:cs="Times New Roman"/>
          <w:sz w:val="24"/>
          <w:szCs w:val="24"/>
        </w:rPr>
        <w:t>187250002021001</w:t>
      </w:r>
      <w:r w:rsidR="00E12AB2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50A61" w:rsidRDefault="00A0489F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осуществления бюджетного процесса в </w:t>
      </w:r>
      <w:r w:rsidR="002A6F8F">
        <w:rPr>
          <w:rFonts w:ascii="Times New Roman" w:hAnsi="Times New Roman" w:cs="Times New Roman"/>
          <w:sz w:val="24"/>
          <w:szCs w:val="24"/>
        </w:rPr>
        <w:t>муниципально</w:t>
      </w:r>
      <w:r w:rsidR="00F43261">
        <w:rPr>
          <w:rFonts w:ascii="Times New Roman" w:hAnsi="Times New Roman" w:cs="Times New Roman"/>
          <w:sz w:val="24"/>
          <w:szCs w:val="24"/>
        </w:rPr>
        <w:t>м</w:t>
      </w:r>
      <w:r w:rsidR="002A6F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43261">
        <w:rPr>
          <w:rFonts w:ascii="Times New Roman" w:hAnsi="Times New Roman" w:cs="Times New Roman"/>
          <w:sz w:val="24"/>
          <w:szCs w:val="24"/>
        </w:rPr>
        <w:t>и</w:t>
      </w:r>
      <w:r w:rsidR="002A6F8F">
        <w:rPr>
          <w:rFonts w:ascii="Times New Roman" w:hAnsi="Times New Roman" w:cs="Times New Roman"/>
          <w:sz w:val="24"/>
          <w:szCs w:val="24"/>
        </w:rPr>
        <w:t xml:space="preserve">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2A6F8F">
        <w:rPr>
          <w:rFonts w:ascii="Times New Roman" w:hAnsi="Times New Roman" w:cs="Times New Roman"/>
          <w:sz w:val="24"/>
          <w:szCs w:val="24"/>
        </w:rPr>
        <w:t>»</w:t>
      </w:r>
      <w:r w:rsidR="00E12AB2" w:rsidRPr="00050A61">
        <w:rPr>
          <w:rFonts w:ascii="Times New Roman" w:hAnsi="Times New Roman" w:cs="Times New Roman"/>
          <w:sz w:val="24"/>
          <w:szCs w:val="24"/>
        </w:rPr>
        <w:t>, утвержденно</w:t>
      </w:r>
      <w:r w:rsidR="002A6F8F">
        <w:rPr>
          <w:rFonts w:ascii="Times New Roman" w:hAnsi="Times New Roman" w:cs="Times New Roman"/>
          <w:sz w:val="24"/>
          <w:szCs w:val="24"/>
        </w:rPr>
        <w:t>го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03299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 w:rsidR="00013014">
        <w:rPr>
          <w:rFonts w:ascii="Times New Roman" w:hAnsi="Times New Roman" w:cs="Times New Roman"/>
          <w:sz w:val="24"/>
          <w:szCs w:val="24"/>
        </w:rPr>
        <w:t xml:space="preserve"> «</w:t>
      </w:r>
      <w:r w:rsidR="00154ABE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13014">
        <w:rPr>
          <w:rFonts w:ascii="Times New Roman" w:hAnsi="Times New Roman" w:cs="Times New Roman"/>
          <w:sz w:val="24"/>
          <w:szCs w:val="24"/>
        </w:rPr>
        <w:t>»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от </w:t>
      </w:r>
      <w:r w:rsidR="001E5F17">
        <w:rPr>
          <w:rFonts w:ascii="Times New Roman" w:hAnsi="Times New Roman" w:cs="Times New Roman"/>
          <w:sz w:val="24"/>
          <w:szCs w:val="24"/>
        </w:rPr>
        <w:t>22 декабря 2022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E5F17">
        <w:rPr>
          <w:rFonts w:ascii="Times New Roman" w:hAnsi="Times New Roman" w:cs="Times New Roman"/>
          <w:sz w:val="24"/>
          <w:szCs w:val="24"/>
        </w:rPr>
        <w:t>6/2-21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Правовые основы исполнения бюджета </w:t>
      </w:r>
      <w:r w:rsidR="002A6F8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2C94">
        <w:rPr>
          <w:rFonts w:ascii="Times New Roman" w:hAnsi="Times New Roman" w:cs="Times New Roman"/>
          <w:b/>
          <w:sz w:val="24"/>
          <w:szCs w:val="24"/>
        </w:rPr>
        <w:t>Муниципальный округ Каракулинский район Удмуртской Республики</w:t>
      </w:r>
      <w:r w:rsidR="00C02AAB">
        <w:rPr>
          <w:rFonts w:ascii="Times New Roman" w:hAnsi="Times New Roman" w:cs="Times New Roman"/>
          <w:b/>
          <w:sz w:val="24"/>
          <w:szCs w:val="24"/>
        </w:rPr>
        <w:t>»</w:t>
      </w:r>
      <w:r w:rsidR="00A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523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2C94" w:rsidRPr="00542C94">
        <w:rPr>
          <w:rFonts w:ascii="Times New Roman" w:hAnsi="Times New Roman" w:cs="Times New Roman"/>
          <w:b/>
          <w:sz w:val="24"/>
          <w:szCs w:val="24"/>
        </w:rPr>
        <w:t>2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2A6F8F">
      <w:pPr>
        <w:pStyle w:val="ConsPlusNormal"/>
      </w:pPr>
      <w:r w:rsidRPr="00991523">
        <w:t>Решение</w:t>
      </w:r>
      <w:r w:rsidR="002A6F8F">
        <w:t>м</w:t>
      </w:r>
      <w:r w:rsidRPr="00991523">
        <w:t xml:space="preserve"> С</w:t>
      </w:r>
      <w:r w:rsidR="001E31CE">
        <w:t xml:space="preserve">овета депутатов </w:t>
      </w:r>
      <w:r w:rsidR="002A6F8F">
        <w:t>муниципального образования</w:t>
      </w:r>
      <w:r w:rsidR="001E31CE">
        <w:t xml:space="preserve"> «</w:t>
      </w:r>
      <w:r w:rsidR="0062139D" w:rsidRPr="00980636">
        <w:t>Муниципальный округ Каракулинский район Удмуртской Республики</w:t>
      </w:r>
      <w:r w:rsidR="001E31CE">
        <w:t>»</w:t>
      </w:r>
      <w:r w:rsidR="001E31CE" w:rsidRPr="00991523">
        <w:t>,</w:t>
      </w:r>
      <w:r w:rsidRPr="00991523">
        <w:t xml:space="preserve"> от </w:t>
      </w:r>
      <w:r w:rsidR="00620F6E">
        <w:t>22</w:t>
      </w:r>
      <w:r w:rsidR="00013014" w:rsidRPr="00422B19">
        <w:t>.12.20</w:t>
      </w:r>
      <w:r w:rsidR="00013014">
        <w:t>2</w:t>
      </w:r>
      <w:r w:rsidR="00620F6E">
        <w:t>1</w:t>
      </w:r>
      <w:r w:rsidR="00013014">
        <w:t xml:space="preserve"> №</w:t>
      </w:r>
      <w:r w:rsidR="00620F6E">
        <w:t>6</w:t>
      </w:r>
      <w:r w:rsidR="00013014" w:rsidRPr="00422B19">
        <w:t>/</w:t>
      </w:r>
      <w:r w:rsidR="00620F6E">
        <w:t>12</w:t>
      </w:r>
      <w:r w:rsidR="00013014" w:rsidRPr="00422B19">
        <w:t>-</w:t>
      </w:r>
      <w:r w:rsidR="00013014">
        <w:t>2</w:t>
      </w:r>
      <w:r w:rsidR="00620F6E">
        <w:t>1</w:t>
      </w:r>
      <w:r w:rsidR="00013014" w:rsidRPr="00422B19">
        <w:t xml:space="preserve"> </w:t>
      </w:r>
      <w:r w:rsidRPr="00991523">
        <w:t>«</w:t>
      </w:r>
      <w:r>
        <w:t xml:space="preserve">О бюджете </w:t>
      </w:r>
      <w:r w:rsidR="00013014">
        <w:t>муниципального образования «Каракулинский район»</w:t>
      </w:r>
      <w:r>
        <w:t xml:space="preserve"> на 202</w:t>
      </w:r>
      <w:r w:rsidR="0062139D">
        <w:t>2</w:t>
      </w:r>
      <w:r w:rsidRPr="00991523">
        <w:t xml:space="preserve"> год и на плановый период 202</w:t>
      </w:r>
      <w:r w:rsidR="0062139D">
        <w:t>3</w:t>
      </w:r>
      <w:r w:rsidRPr="00991523">
        <w:t xml:space="preserve"> и 202</w:t>
      </w:r>
      <w:r w:rsidR="0062139D">
        <w:t>4</w:t>
      </w:r>
      <w:r w:rsidRPr="00991523">
        <w:t xml:space="preserve"> годов»;</w:t>
      </w:r>
    </w:p>
    <w:p w:rsidR="00D973BA" w:rsidRDefault="00E12AB2" w:rsidP="00D973BA">
      <w:pPr>
        <w:pStyle w:val="ConsPlusNormal"/>
      </w:pPr>
      <w:r w:rsidRPr="00991523">
        <w:t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</w:t>
      </w:r>
      <w:r w:rsidR="00013014" w:rsidRPr="0096522E">
        <w:t xml:space="preserve">, утвержденного Решением Совета депутатов </w:t>
      </w:r>
      <w:r w:rsidR="001A57D6">
        <w:t>муниципального образования «</w:t>
      </w:r>
      <w:r w:rsidR="001A57D6" w:rsidRPr="00980636">
        <w:t>Муниципальный округ Каракулинский район Удмуртской Республики</w:t>
      </w:r>
      <w:r w:rsidR="001A57D6">
        <w:t>»</w:t>
      </w:r>
      <w:r w:rsidR="001A57D6" w:rsidRPr="00991523">
        <w:t xml:space="preserve">, </w:t>
      </w:r>
      <w:r w:rsidR="00013014" w:rsidRPr="0096522E">
        <w:t xml:space="preserve">от </w:t>
      </w:r>
      <w:r w:rsidR="00FB1FD2">
        <w:t>1</w:t>
      </w:r>
      <w:r w:rsidR="00D973BA" w:rsidRPr="00D973BA">
        <w:t>4.</w:t>
      </w:r>
      <w:r w:rsidR="00FB1FD2">
        <w:t>12.</w:t>
      </w:r>
      <w:r w:rsidR="00D973BA" w:rsidRPr="00D973BA">
        <w:t>20</w:t>
      </w:r>
      <w:r w:rsidR="00FB1FD2">
        <w:t>21</w:t>
      </w:r>
      <w:r w:rsidR="00D973BA" w:rsidRPr="00D973BA">
        <w:t xml:space="preserve"> № </w:t>
      </w:r>
      <w:r w:rsidR="00FB1FD2">
        <w:t>5</w:t>
      </w:r>
      <w:r w:rsidR="00D973BA" w:rsidRPr="00D973BA">
        <w:t>/</w:t>
      </w:r>
      <w:r w:rsidR="00FB1FD2">
        <w:t>12</w:t>
      </w:r>
      <w:r w:rsidR="00D973BA" w:rsidRPr="00D973BA">
        <w:t>-</w:t>
      </w:r>
      <w:r w:rsidR="00FB1FD2">
        <w:t>21</w:t>
      </w:r>
    </w:p>
    <w:p w:rsidR="00E12AB2" w:rsidRDefault="00E12AB2" w:rsidP="00D973BA">
      <w:pPr>
        <w:pStyle w:val="ConsPlusNormal"/>
        <w:rPr>
          <w:b/>
        </w:rPr>
      </w:pPr>
      <w:r w:rsidRPr="00991523">
        <w:rPr>
          <w:b/>
        </w:rPr>
        <w:t xml:space="preserve">Осуществление бюджетных полномочий в </w:t>
      </w:r>
      <w:r w:rsidR="00315937">
        <w:rPr>
          <w:b/>
        </w:rPr>
        <w:t>муниципальном образовании</w:t>
      </w:r>
      <w:r w:rsidR="006965AA">
        <w:t xml:space="preserve"> </w:t>
      </w:r>
      <w:r w:rsidR="006965AA" w:rsidRPr="00315937">
        <w:rPr>
          <w:b/>
        </w:rPr>
        <w:t>«</w:t>
      </w:r>
      <w:r w:rsidR="0062139D">
        <w:rPr>
          <w:b/>
        </w:rPr>
        <w:t xml:space="preserve">Муниципальный округ </w:t>
      </w:r>
      <w:r w:rsidR="006965AA" w:rsidRPr="00315937">
        <w:rPr>
          <w:b/>
        </w:rPr>
        <w:t>Каракулинский район</w:t>
      </w:r>
      <w:r w:rsidR="0062139D">
        <w:rPr>
          <w:b/>
        </w:rPr>
        <w:t xml:space="preserve"> Удмуртской Республики</w:t>
      </w:r>
      <w:r w:rsidR="006965AA" w:rsidRPr="00315937">
        <w:rPr>
          <w:b/>
        </w:rPr>
        <w:t>»</w:t>
      </w:r>
      <w:r w:rsidRPr="00315937">
        <w:rPr>
          <w:b/>
        </w:rPr>
        <w:t>.</w:t>
      </w:r>
    </w:p>
    <w:p w:rsidR="00E12AB2" w:rsidRPr="00991523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Учет операций со средствами бюджета осуществляется на едином счете, открытом 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3159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65AA">
        <w:rPr>
          <w:rFonts w:ascii="Times New Roman" w:hAnsi="Times New Roman" w:cs="Times New Roman"/>
          <w:sz w:val="24"/>
          <w:szCs w:val="24"/>
        </w:rPr>
        <w:t xml:space="preserve">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6965AA" w:rsidRPr="0062139D">
        <w:rPr>
          <w:rFonts w:ascii="Times New Roman" w:hAnsi="Times New Roman" w:cs="Times New Roman"/>
          <w:sz w:val="24"/>
          <w:szCs w:val="24"/>
        </w:rPr>
        <w:t>»</w:t>
      </w:r>
      <w:r w:rsidRPr="0062139D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03B9C" w:rsidRDefault="00E12AB2" w:rsidP="00E12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82">
        <w:rPr>
          <w:rFonts w:ascii="Times New Roman" w:hAnsi="Times New Roman" w:cs="Times New Roman"/>
          <w:sz w:val="24"/>
          <w:szCs w:val="24"/>
        </w:rPr>
        <w:t xml:space="preserve">Порядок 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</w:t>
      </w:r>
      <w:r w:rsidR="006D461D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6D461D" w:rsidRPr="00EE3782">
        <w:rPr>
          <w:rFonts w:ascii="Times New Roman" w:hAnsi="Times New Roman" w:cs="Times New Roman"/>
          <w:sz w:val="24"/>
          <w:szCs w:val="24"/>
        </w:rPr>
        <w:t>»</w:t>
      </w:r>
      <w:r w:rsidRPr="00EE3782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2139D" w:rsidRPr="0062139D">
        <w:rPr>
          <w:rFonts w:ascii="Times New Roman" w:hAnsi="Times New Roman" w:cs="Times New Roman"/>
          <w:sz w:val="24"/>
          <w:szCs w:val="24"/>
        </w:rPr>
        <w:t xml:space="preserve">Муниципальный округ Каракулинский </w:t>
      </w:r>
      <w:r w:rsidR="0062139D" w:rsidRPr="0062139D">
        <w:rPr>
          <w:rFonts w:ascii="Times New Roman" w:hAnsi="Times New Roman" w:cs="Times New Roman"/>
          <w:sz w:val="24"/>
          <w:szCs w:val="24"/>
        </w:rPr>
        <w:lastRenderedPageBreak/>
        <w:t>район Удмуртской Республики</w:t>
      </w:r>
      <w:r w:rsidR="00FC1009" w:rsidRPr="00EE3782">
        <w:rPr>
          <w:rFonts w:ascii="Times New Roman" w:hAnsi="Times New Roman" w:cs="Times New Roman"/>
          <w:sz w:val="24"/>
          <w:szCs w:val="24"/>
        </w:rPr>
        <w:t>»</w:t>
      </w:r>
      <w:r w:rsidRPr="00EE3782">
        <w:rPr>
          <w:rFonts w:ascii="Times New Roman" w:hAnsi="Times New Roman" w:cs="Times New Roman"/>
          <w:sz w:val="24"/>
          <w:szCs w:val="24"/>
        </w:rPr>
        <w:t xml:space="preserve"> и (или) находящимися в их ведении казенными учреждениями в новой редакции утвержден Постановлением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542C94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EE3782" w:rsidRPr="00542C94">
        <w:rPr>
          <w:rFonts w:ascii="Times New Roman" w:hAnsi="Times New Roman" w:cs="Times New Roman"/>
          <w:sz w:val="24"/>
          <w:szCs w:val="24"/>
          <w:highlight w:val="yellow"/>
        </w:rPr>
        <w:t>360</w:t>
      </w:r>
      <w:r w:rsidRPr="00542C94">
        <w:rPr>
          <w:rFonts w:ascii="Times New Roman" w:hAnsi="Times New Roman" w:cs="Times New Roman"/>
          <w:sz w:val="24"/>
          <w:szCs w:val="24"/>
          <w:highlight w:val="yellow"/>
        </w:rPr>
        <w:t xml:space="preserve"> от 03.06.2020.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Главные администраторы доходов и главные распорядители бюджетных средств </w:t>
      </w:r>
      <w:r w:rsidR="001E6B2F">
        <w:rPr>
          <w:rFonts w:ascii="Times New Roman" w:hAnsi="Times New Roman" w:cs="Times New Roman"/>
          <w:b/>
          <w:sz w:val="24"/>
          <w:szCs w:val="24"/>
        </w:rPr>
        <w:t>МО «</w:t>
      </w:r>
      <w:r w:rsidR="00542C94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1E6B2F">
        <w:rPr>
          <w:rFonts w:ascii="Times New Roman" w:hAnsi="Times New Roman" w:cs="Times New Roman"/>
          <w:b/>
          <w:sz w:val="24"/>
          <w:szCs w:val="24"/>
        </w:rPr>
        <w:t>Каракулинский район</w:t>
      </w:r>
      <w:r w:rsidR="00542C94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 w:rsidR="001E6B2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6B2F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1E6B2F">
        <w:rPr>
          <w:rFonts w:ascii="Times New Roman" w:hAnsi="Times New Roman" w:cs="Times New Roman"/>
          <w:sz w:val="24"/>
          <w:szCs w:val="24"/>
        </w:rPr>
        <w:t>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7D3BB1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  <w:r w:rsidR="00E12AB2" w:rsidRPr="0099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97E69">
        <w:rPr>
          <w:rFonts w:ascii="Times New Roman" w:hAnsi="Times New Roman" w:cs="Times New Roman"/>
          <w:sz w:val="24"/>
          <w:szCs w:val="24"/>
        </w:rPr>
        <w:t>образования физической культуры и спорта</w:t>
      </w:r>
      <w:r w:rsidRPr="00991523">
        <w:rPr>
          <w:rFonts w:ascii="Times New Roman" w:hAnsi="Times New Roman" w:cs="Times New Roman"/>
          <w:sz w:val="24"/>
          <w:szCs w:val="24"/>
        </w:rPr>
        <w:t xml:space="preserve"> </w:t>
      </w:r>
      <w:r w:rsidR="00C61A62"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61A62">
        <w:rPr>
          <w:rFonts w:ascii="Times New Roman" w:hAnsi="Times New Roman" w:cs="Times New Roman"/>
          <w:sz w:val="24"/>
          <w:szCs w:val="24"/>
        </w:rPr>
        <w:t>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C61A62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61A62">
        <w:rPr>
          <w:rFonts w:ascii="Times New Roman" w:hAnsi="Times New Roman" w:cs="Times New Roman"/>
          <w:sz w:val="24"/>
          <w:szCs w:val="24"/>
        </w:rPr>
        <w:t>»</w:t>
      </w:r>
      <w:r w:rsidRPr="00991523">
        <w:rPr>
          <w:rFonts w:ascii="Times New Roman" w:hAnsi="Times New Roman" w:cs="Times New Roman"/>
          <w:sz w:val="24"/>
          <w:szCs w:val="24"/>
        </w:rPr>
        <w:t>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 xml:space="preserve">Главными администраторам доходов бюджета </w:t>
      </w:r>
      <w:r w:rsidR="00C61A62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61A62">
        <w:rPr>
          <w:rFonts w:ascii="Times New Roman" w:hAnsi="Times New Roman" w:cs="Times New Roman"/>
          <w:sz w:val="24"/>
          <w:szCs w:val="24"/>
        </w:rPr>
        <w:t>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  <w:r w:rsidRPr="008C11BE">
        <w:rPr>
          <w:rFonts w:ascii="Times New Roman" w:hAnsi="Times New Roman" w:cs="Times New Roman"/>
          <w:sz w:val="24"/>
          <w:szCs w:val="24"/>
        </w:rPr>
        <w:t xml:space="preserve">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администраторами источников финансирования дефиц</w:t>
      </w:r>
      <w:r>
        <w:rPr>
          <w:rFonts w:ascii="Times New Roman" w:hAnsi="Times New Roman" w:cs="Times New Roman"/>
          <w:sz w:val="24"/>
          <w:szCs w:val="24"/>
        </w:rPr>
        <w:t xml:space="preserve">ита бюджета являются </w:t>
      </w:r>
      <w:r w:rsidRPr="008C11BE">
        <w:rPr>
          <w:rFonts w:ascii="Times New Roman" w:hAnsi="Times New Roman" w:cs="Times New Roman"/>
          <w:sz w:val="24"/>
          <w:szCs w:val="24"/>
        </w:rPr>
        <w:t xml:space="preserve">Управление финансов (приложение № </w:t>
      </w:r>
      <w:r w:rsidR="00C36E3C">
        <w:rPr>
          <w:rFonts w:ascii="Times New Roman" w:hAnsi="Times New Roman" w:cs="Times New Roman"/>
          <w:sz w:val="24"/>
          <w:szCs w:val="24"/>
        </w:rPr>
        <w:t>5</w:t>
      </w:r>
      <w:r w:rsidRPr="008C11BE">
        <w:rPr>
          <w:rFonts w:ascii="Times New Roman" w:hAnsi="Times New Roman" w:cs="Times New Roman"/>
          <w:sz w:val="24"/>
          <w:szCs w:val="24"/>
        </w:rPr>
        <w:t xml:space="preserve"> к Решению о бюджете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42C94">
        <w:rPr>
          <w:rFonts w:ascii="Times New Roman" w:hAnsi="Times New Roman" w:cs="Times New Roman"/>
          <w:sz w:val="24"/>
          <w:szCs w:val="24"/>
        </w:rPr>
        <w:t>2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42C94">
        <w:rPr>
          <w:rFonts w:ascii="Times New Roman" w:hAnsi="Times New Roman" w:cs="Times New Roman"/>
          <w:sz w:val="24"/>
          <w:szCs w:val="24"/>
        </w:rPr>
        <w:t>3</w:t>
      </w:r>
      <w:r w:rsidRPr="008C11BE">
        <w:rPr>
          <w:rFonts w:ascii="Times New Roman" w:hAnsi="Times New Roman" w:cs="Times New Roman"/>
          <w:sz w:val="24"/>
          <w:szCs w:val="24"/>
        </w:rPr>
        <w:t xml:space="preserve"> и 202</w:t>
      </w:r>
      <w:r w:rsidR="00542C94">
        <w:rPr>
          <w:rFonts w:ascii="Times New Roman" w:hAnsi="Times New Roman" w:cs="Times New Roman"/>
          <w:sz w:val="24"/>
          <w:szCs w:val="24"/>
        </w:rPr>
        <w:t>4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01.01.20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42C94">
        <w:rPr>
          <w:rFonts w:ascii="Times New Roman" w:hAnsi="Times New Roman" w:cs="Times New Roman"/>
          <w:b/>
          <w:sz w:val="24"/>
          <w:szCs w:val="24"/>
        </w:rPr>
        <w:t>2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FE1226" w:rsidRDefault="00E12AB2" w:rsidP="00E12AB2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542C94">
        <w:rPr>
          <w:rFonts w:ascii="Times New Roman" w:hAnsi="Times New Roman" w:cs="Times New Roman"/>
          <w:sz w:val="24"/>
          <w:szCs w:val="24"/>
        </w:rPr>
        <w:t>2</w:t>
      </w:r>
      <w:r w:rsidRPr="00FE1226">
        <w:rPr>
          <w:rFonts w:ascii="Times New Roman" w:hAnsi="Times New Roman" w:cs="Times New Roman"/>
          <w:sz w:val="24"/>
          <w:szCs w:val="24"/>
        </w:rPr>
        <w:t xml:space="preserve"> на бюджете </w:t>
      </w:r>
      <w:r w:rsidR="006965AA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="006965AA" w:rsidRPr="00991523">
        <w:rPr>
          <w:rFonts w:ascii="Times New Roman" w:hAnsi="Times New Roman" w:cs="Times New Roman"/>
          <w:sz w:val="24"/>
          <w:szCs w:val="24"/>
        </w:rPr>
        <w:t>,</w:t>
      </w:r>
      <w:r w:rsidR="006965AA">
        <w:rPr>
          <w:rFonts w:ascii="Times New Roman" w:hAnsi="Times New Roman" w:cs="Times New Roman"/>
          <w:sz w:val="24"/>
          <w:szCs w:val="24"/>
        </w:rPr>
        <w:t xml:space="preserve"> </w:t>
      </w:r>
      <w:r w:rsidRPr="00FE1226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C36E3C">
        <w:rPr>
          <w:rFonts w:ascii="Times New Roman" w:hAnsi="Times New Roman" w:cs="Times New Roman"/>
          <w:sz w:val="24"/>
          <w:szCs w:val="24"/>
        </w:rPr>
        <w:t>4</w:t>
      </w:r>
      <w:r w:rsidR="00A97E69">
        <w:rPr>
          <w:rFonts w:ascii="Times New Roman" w:hAnsi="Times New Roman" w:cs="Times New Roman"/>
          <w:sz w:val="24"/>
          <w:szCs w:val="24"/>
        </w:rPr>
        <w:t>1</w:t>
      </w:r>
      <w:r w:rsidR="00C36E3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E1226">
        <w:rPr>
          <w:rFonts w:ascii="Times New Roman" w:hAnsi="Times New Roman" w:cs="Times New Roman"/>
          <w:sz w:val="24"/>
          <w:szCs w:val="24"/>
        </w:rPr>
        <w:t>, из них: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 наделены 1</w:t>
      </w:r>
      <w:r w:rsidR="001E31CE">
        <w:rPr>
          <w:rFonts w:ascii="Times New Roman" w:hAnsi="Times New Roman" w:cs="Times New Roman"/>
          <w:sz w:val="24"/>
          <w:szCs w:val="24"/>
        </w:rPr>
        <w:t>7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учреждений, из них ГРБС – </w:t>
      </w:r>
      <w:r w:rsidR="00A97E69">
        <w:rPr>
          <w:rFonts w:ascii="Times New Roman" w:hAnsi="Times New Roman" w:cs="Times New Roman"/>
          <w:sz w:val="24"/>
          <w:szCs w:val="24"/>
        </w:rPr>
        <w:t>4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Полномочиями главного администратора и администратора источников внутреннего финансирования дефицита бюджета – </w:t>
      </w:r>
      <w:r w:rsidR="001E31CE">
        <w:rPr>
          <w:rFonts w:ascii="Times New Roman" w:hAnsi="Times New Roman" w:cs="Times New Roman"/>
          <w:sz w:val="24"/>
          <w:szCs w:val="24"/>
        </w:rPr>
        <w:t>1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15937">
        <w:rPr>
          <w:rFonts w:ascii="Times New Roman" w:hAnsi="Times New Roman" w:cs="Times New Roman"/>
          <w:sz w:val="24"/>
          <w:szCs w:val="24"/>
        </w:rPr>
        <w:t>е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Получателями субсидий являются – </w:t>
      </w:r>
      <w:r w:rsidR="00A97E69">
        <w:rPr>
          <w:rFonts w:ascii="Times New Roman" w:hAnsi="Times New Roman" w:cs="Times New Roman"/>
          <w:sz w:val="24"/>
          <w:szCs w:val="24"/>
        </w:rPr>
        <w:t>24</w:t>
      </w:r>
      <w:r w:rsidRPr="00FE1226">
        <w:rPr>
          <w:rFonts w:ascii="Times New Roman" w:hAnsi="Times New Roman" w:cs="Times New Roman"/>
          <w:sz w:val="24"/>
          <w:szCs w:val="24"/>
        </w:rPr>
        <w:t xml:space="preserve">, из них бюджетные учреждения </w:t>
      </w:r>
      <w:r w:rsidR="007D3BB1">
        <w:rPr>
          <w:rFonts w:ascii="Times New Roman" w:hAnsi="Times New Roman" w:cs="Times New Roman"/>
          <w:sz w:val="24"/>
          <w:szCs w:val="24"/>
        </w:rPr>
        <w:t>2</w:t>
      </w:r>
      <w:r w:rsidR="00A97E69">
        <w:rPr>
          <w:rFonts w:ascii="Times New Roman" w:hAnsi="Times New Roman" w:cs="Times New Roman"/>
          <w:sz w:val="24"/>
          <w:szCs w:val="24"/>
        </w:rPr>
        <w:t>1</w:t>
      </w:r>
      <w:r w:rsidRPr="00FE1226">
        <w:rPr>
          <w:rFonts w:ascii="Times New Roman" w:hAnsi="Times New Roman" w:cs="Times New Roman"/>
          <w:sz w:val="24"/>
          <w:szCs w:val="24"/>
        </w:rPr>
        <w:t xml:space="preserve">, </w:t>
      </w:r>
      <w:r w:rsidR="007D3BB1">
        <w:rPr>
          <w:rFonts w:ascii="Times New Roman" w:hAnsi="Times New Roman" w:cs="Times New Roman"/>
          <w:sz w:val="24"/>
          <w:szCs w:val="24"/>
        </w:rPr>
        <w:t>казенные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учреждения – </w:t>
      </w:r>
      <w:r w:rsidR="00A97E69">
        <w:rPr>
          <w:rFonts w:ascii="Times New Roman" w:hAnsi="Times New Roman" w:cs="Times New Roman"/>
          <w:sz w:val="24"/>
          <w:szCs w:val="24"/>
        </w:rPr>
        <w:t>4</w:t>
      </w:r>
      <w:r w:rsidRPr="00FE1226">
        <w:rPr>
          <w:rFonts w:ascii="Times New Roman" w:hAnsi="Times New Roman" w:cs="Times New Roman"/>
          <w:sz w:val="24"/>
          <w:szCs w:val="24"/>
        </w:rPr>
        <w:t>.</w:t>
      </w:r>
    </w:p>
    <w:p w:rsidR="00E12AB2" w:rsidRPr="00FE1226" w:rsidRDefault="00E12AB2" w:rsidP="00E12AB2">
      <w:pPr>
        <w:tabs>
          <w:tab w:val="left" w:pos="6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Изменения произошли в результате: </w:t>
      </w:r>
    </w:p>
    <w:p w:rsidR="001D64F4" w:rsidRDefault="005F39D1" w:rsidP="00E12A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Уменьшения количества бюджетных учреждений в результате </w:t>
      </w:r>
      <w:r w:rsidR="00A97E69">
        <w:rPr>
          <w:rFonts w:ascii="Times New Roman" w:hAnsi="Times New Roman" w:cs="Times New Roman"/>
          <w:sz w:val="24"/>
          <w:szCs w:val="24"/>
        </w:rPr>
        <w:t>реорганизации в форме присоединения</w:t>
      </w:r>
      <w:r w:rsidR="009311D5">
        <w:rPr>
          <w:rFonts w:ascii="Times New Roman" w:hAnsi="Times New Roman" w:cs="Times New Roman"/>
          <w:sz w:val="24"/>
          <w:szCs w:val="24"/>
        </w:rPr>
        <w:t xml:space="preserve"> </w:t>
      </w:r>
      <w:r w:rsidR="00C60F3C">
        <w:rPr>
          <w:rFonts w:ascii="Times New Roman" w:hAnsi="Times New Roman" w:cs="Times New Roman"/>
          <w:sz w:val="24"/>
          <w:szCs w:val="24"/>
        </w:rPr>
        <w:t xml:space="preserve">и </w:t>
      </w:r>
      <w:r w:rsidR="009311D5">
        <w:rPr>
          <w:rFonts w:ascii="Times New Roman" w:hAnsi="Times New Roman" w:cs="Times New Roman"/>
          <w:sz w:val="24"/>
          <w:szCs w:val="24"/>
        </w:rPr>
        <w:t>ликвидации</w:t>
      </w:r>
      <w:r w:rsidR="001D64F4">
        <w:rPr>
          <w:rFonts w:ascii="Times New Roman" w:hAnsi="Times New Roman" w:cs="Times New Roman"/>
          <w:sz w:val="24"/>
          <w:szCs w:val="24"/>
        </w:rPr>
        <w:t>:</w:t>
      </w:r>
    </w:p>
    <w:p w:rsidR="001D64F4" w:rsidRDefault="001D64F4" w:rsidP="001D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«Арзамасцевский детский сад»</w:t>
      </w:r>
      <w:r w:rsidR="00C60F3C">
        <w:rPr>
          <w:rFonts w:ascii="Times New Roman" w:hAnsi="Times New Roman" w:cs="Times New Roman"/>
          <w:sz w:val="24"/>
          <w:szCs w:val="24"/>
        </w:rPr>
        <w:t xml:space="preserve"> реорганизация в форме присоединения</w:t>
      </w:r>
      <w:r w:rsidR="00A9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выписк</w:t>
      </w:r>
      <w:r w:rsidR="009311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ЕГРЮЛ 17.11.2021года.</w:t>
      </w:r>
    </w:p>
    <w:p w:rsidR="001D64F4" w:rsidRDefault="005F39D1" w:rsidP="001D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4F4"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«Ныргындинский детский сад» </w:t>
      </w:r>
      <w:r w:rsidR="00C60F3C">
        <w:rPr>
          <w:rFonts w:ascii="Times New Roman" w:hAnsi="Times New Roman" w:cs="Times New Roman"/>
          <w:sz w:val="24"/>
          <w:szCs w:val="24"/>
        </w:rPr>
        <w:t xml:space="preserve">реорганизация в форме присоединения </w:t>
      </w:r>
      <w:r w:rsidR="001D64F4">
        <w:rPr>
          <w:rFonts w:ascii="Times New Roman" w:hAnsi="Times New Roman" w:cs="Times New Roman"/>
          <w:sz w:val="24"/>
          <w:szCs w:val="24"/>
        </w:rPr>
        <w:t>выписк</w:t>
      </w:r>
      <w:r w:rsidR="009311D5">
        <w:rPr>
          <w:rFonts w:ascii="Times New Roman" w:hAnsi="Times New Roman" w:cs="Times New Roman"/>
          <w:sz w:val="24"/>
          <w:szCs w:val="24"/>
        </w:rPr>
        <w:t>а</w:t>
      </w:r>
      <w:r w:rsidR="001D64F4">
        <w:rPr>
          <w:rFonts w:ascii="Times New Roman" w:hAnsi="Times New Roman" w:cs="Times New Roman"/>
          <w:sz w:val="24"/>
          <w:szCs w:val="24"/>
        </w:rPr>
        <w:t xml:space="preserve"> из ЕГРЮЛ 18.11.2021года.</w:t>
      </w:r>
    </w:p>
    <w:p w:rsidR="001D64F4" w:rsidRDefault="009311D5" w:rsidP="001D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«Галановский детский сад» </w:t>
      </w:r>
      <w:r w:rsidR="00C60F3C">
        <w:rPr>
          <w:rFonts w:ascii="Times New Roman" w:hAnsi="Times New Roman" w:cs="Times New Roman"/>
          <w:sz w:val="24"/>
          <w:szCs w:val="24"/>
        </w:rPr>
        <w:t xml:space="preserve">реорганизация в форме присоединения 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="001D64F4">
        <w:rPr>
          <w:rFonts w:ascii="Times New Roman" w:hAnsi="Times New Roman" w:cs="Times New Roman"/>
          <w:sz w:val="24"/>
          <w:szCs w:val="24"/>
        </w:rPr>
        <w:t xml:space="preserve"> из ЕГРЮЛ 17.11.2021года.</w:t>
      </w:r>
    </w:p>
    <w:p w:rsidR="001D64F4" w:rsidRDefault="009311D5" w:rsidP="0093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>Муниципальное бюджетное учреждение «Центр комплексного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4F4">
        <w:rPr>
          <w:rFonts w:ascii="Times New Roman" w:hAnsi="Times New Roman" w:cs="Times New Roman"/>
          <w:sz w:val="24"/>
          <w:szCs w:val="24"/>
        </w:rPr>
        <w:t>учреждений культуры Каракулинского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ликвидировано по решению учредителей 3 февраля 2021года основание (</w:t>
      </w:r>
      <w:r w:rsidR="001D64F4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 из ЕГРЮЛ).</w:t>
      </w:r>
    </w:p>
    <w:p w:rsidR="009311D5" w:rsidRDefault="009311D5" w:rsidP="0093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«Централизованная бухгалтерия управления народного образования Администрации муниципального образования «Каракулинский район» реорганизовано </w:t>
      </w:r>
      <w:r w:rsidR="00C60F3C">
        <w:rPr>
          <w:rFonts w:ascii="Times New Roman" w:hAnsi="Times New Roman" w:cs="Times New Roman"/>
          <w:sz w:val="24"/>
          <w:szCs w:val="24"/>
        </w:rPr>
        <w:t>в форме присоединения 19 апреля 2021</w:t>
      </w:r>
      <w:r>
        <w:rPr>
          <w:rFonts w:ascii="Times New Roman" w:hAnsi="Times New Roman" w:cs="Times New Roman"/>
          <w:sz w:val="24"/>
          <w:szCs w:val="24"/>
        </w:rPr>
        <w:t xml:space="preserve"> основание (выписка из ЕГРЮЛ).</w:t>
      </w:r>
    </w:p>
    <w:p w:rsidR="00C60F3C" w:rsidRDefault="00C60F3C" w:rsidP="00C60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«Централизованная бухгалтерия учреждений, подведомственных отделу культуры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«Каракулинский район» реорганизовано в форме присоединения 19 апреля 2021 основание (выписка из ЕГРЮЛ).</w:t>
      </w:r>
    </w:p>
    <w:p w:rsidR="00C60F3C" w:rsidRDefault="00C60F3C" w:rsidP="00931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B2" w:rsidRPr="001A57D6" w:rsidRDefault="00E12AB2" w:rsidP="00E12AB2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7D6">
        <w:rPr>
          <w:rFonts w:ascii="Times New Roman" w:hAnsi="Times New Roman" w:cs="Times New Roman"/>
          <w:b/>
          <w:sz w:val="24"/>
          <w:szCs w:val="24"/>
        </w:rPr>
        <w:t>Результаты анализа.</w:t>
      </w:r>
    </w:p>
    <w:p w:rsidR="00E12AB2" w:rsidRPr="00D62DEC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>Отчет об исполнении бюджета за 1 квартал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21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</w:t>
      </w:r>
      <w:r w:rsidRPr="00D62DEC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C02AA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62DE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65674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65674">
        <w:rPr>
          <w:rFonts w:ascii="Times New Roman" w:hAnsi="Times New Roman" w:cs="Times New Roman"/>
          <w:sz w:val="24"/>
          <w:szCs w:val="24"/>
        </w:rPr>
        <w:t>»</w:t>
      </w:r>
      <w:r w:rsidR="00C02AAB">
        <w:rPr>
          <w:rFonts w:ascii="Times New Roman" w:hAnsi="Times New Roman" w:cs="Times New Roman"/>
          <w:sz w:val="24"/>
          <w:szCs w:val="24"/>
        </w:rPr>
        <w:t xml:space="preserve"> от 27 мая 2021года № 441 </w:t>
      </w:r>
      <w:r w:rsidRPr="00D62DEC">
        <w:rPr>
          <w:rFonts w:ascii="Times New Roman" w:hAnsi="Times New Roman" w:cs="Times New Roman"/>
          <w:sz w:val="24"/>
          <w:szCs w:val="24"/>
        </w:rPr>
        <w:t xml:space="preserve">и направлен в </w:t>
      </w:r>
      <w:r w:rsidR="00065674">
        <w:rPr>
          <w:rFonts w:ascii="Times New Roman" w:hAnsi="Times New Roman" w:cs="Times New Roman"/>
          <w:sz w:val="24"/>
          <w:szCs w:val="24"/>
        </w:rPr>
        <w:t>Совет депутатов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65674">
        <w:rPr>
          <w:rFonts w:ascii="Times New Roman" w:hAnsi="Times New Roman" w:cs="Times New Roman"/>
          <w:sz w:val="24"/>
          <w:szCs w:val="24"/>
        </w:rPr>
        <w:t>»</w:t>
      </w:r>
      <w:r w:rsidRPr="00D62DEC">
        <w:rPr>
          <w:rFonts w:ascii="Times New Roman" w:hAnsi="Times New Roman" w:cs="Times New Roman"/>
          <w:sz w:val="24"/>
          <w:szCs w:val="24"/>
        </w:rPr>
        <w:t xml:space="preserve"> и контрольно-счетный орган 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Pr="00D62DEC">
        <w:rPr>
          <w:rFonts w:ascii="Times New Roman" w:hAnsi="Times New Roman" w:cs="Times New Roman"/>
          <w:sz w:val="24"/>
          <w:szCs w:val="24"/>
        </w:rPr>
        <w:t xml:space="preserve">» в соответствии со ст. </w:t>
      </w:r>
      <w:r w:rsidR="005F39D1">
        <w:rPr>
          <w:rFonts w:ascii="Times New Roman" w:hAnsi="Times New Roman" w:cs="Times New Roman"/>
          <w:sz w:val="24"/>
          <w:szCs w:val="24"/>
        </w:rPr>
        <w:t>1</w:t>
      </w:r>
      <w:r w:rsidR="00065674">
        <w:rPr>
          <w:rFonts w:ascii="Times New Roman" w:hAnsi="Times New Roman" w:cs="Times New Roman"/>
          <w:sz w:val="24"/>
          <w:szCs w:val="24"/>
        </w:rPr>
        <w:t>6</w:t>
      </w:r>
      <w:r w:rsidRPr="00D62DEC">
        <w:rPr>
          <w:rFonts w:ascii="Times New Roman" w:hAnsi="Times New Roman" w:cs="Times New Roman"/>
          <w:sz w:val="24"/>
          <w:szCs w:val="24"/>
        </w:rPr>
        <w:t xml:space="preserve"> Порядка осуществления бюджетного процесса в </w:t>
      </w:r>
      <w:r w:rsidR="00065674" w:rsidRPr="00D62DEC">
        <w:rPr>
          <w:rFonts w:ascii="Times New Roman" w:hAnsi="Times New Roman" w:cs="Times New Roman"/>
          <w:sz w:val="24"/>
          <w:szCs w:val="24"/>
        </w:rPr>
        <w:t>МО 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065674" w:rsidRPr="00D62DEC">
        <w:rPr>
          <w:rFonts w:ascii="Times New Roman" w:hAnsi="Times New Roman" w:cs="Times New Roman"/>
          <w:sz w:val="24"/>
          <w:szCs w:val="24"/>
        </w:rPr>
        <w:t>»</w:t>
      </w:r>
      <w:r w:rsidRPr="00D62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доходов бюджета </w:t>
      </w:r>
      <w:r w:rsidR="0097601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6567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2139D" w:rsidRPr="0062139D">
        <w:rPr>
          <w:rFonts w:ascii="Times New Roman" w:hAnsi="Times New Roman" w:cs="Times New Roman"/>
          <w:b/>
          <w:sz w:val="24"/>
          <w:szCs w:val="24"/>
        </w:rPr>
        <w:t>Муниципальный округ Каракулинский район Удмуртской Республики</w:t>
      </w:r>
      <w:r w:rsidR="00065674">
        <w:rPr>
          <w:rFonts w:ascii="Times New Roman" w:hAnsi="Times New Roman" w:cs="Times New Roman"/>
          <w:b/>
          <w:sz w:val="24"/>
          <w:szCs w:val="24"/>
        </w:rPr>
        <w:t>»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8C11B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>
        <w:rPr>
          <w:rFonts w:ascii="Times New Roman" w:hAnsi="Times New Roman" w:cs="Times New Roman"/>
          <w:bCs/>
          <w:sz w:val="24"/>
          <w:szCs w:val="24"/>
        </w:rPr>
        <w:t>жета по доходам за 1 квартал 202</w:t>
      </w:r>
      <w:r w:rsidR="0062139D">
        <w:rPr>
          <w:rFonts w:ascii="Times New Roman" w:hAnsi="Times New Roman" w:cs="Times New Roman"/>
          <w:bCs/>
          <w:sz w:val="24"/>
          <w:szCs w:val="24"/>
        </w:rPr>
        <w:t>2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5C5345">
        <w:rPr>
          <w:rFonts w:ascii="Times New Roman" w:hAnsi="Times New Roman" w:cs="Times New Roman"/>
          <w:bCs/>
          <w:sz w:val="24"/>
          <w:szCs w:val="24"/>
        </w:rPr>
        <w:t>96,0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 xml:space="preserve">. руб. или </w:t>
      </w:r>
      <w:r w:rsidR="00315937">
        <w:rPr>
          <w:rFonts w:ascii="Times New Roman" w:hAnsi="Times New Roman" w:cs="Times New Roman"/>
          <w:bCs/>
          <w:sz w:val="24"/>
          <w:szCs w:val="24"/>
        </w:rPr>
        <w:t>18,</w:t>
      </w:r>
      <w:r w:rsidR="005C5345">
        <w:rPr>
          <w:rFonts w:ascii="Times New Roman" w:hAnsi="Times New Roman" w:cs="Times New Roman"/>
          <w:bCs/>
          <w:sz w:val="24"/>
          <w:szCs w:val="24"/>
        </w:rPr>
        <w:t>4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5C5345">
        <w:rPr>
          <w:rFonts w:ascii="Times New Roman" w:hAnsi="Times New Roman" w:cs="Times New Roman"/>
          <w:bCs/>
          <w:sz w:val="24"/>
          <w:szCs w:val="24"/>
        </w:rPr>
        <w:t>42,3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 (2</w:t>
      </w:r>
      <w:r w:rsidR="0031593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C5345">
        <w:rPr>
          <w:rFonts w:ascii="Times New Roman" w:hAnsi="Times New Roman" w:cs="Times New Roman"/>
          <w:bCs/>
          <w:sz w:val="24"/>
          <w:szCs w:val="24"/>
        </w:rPr>
        <w:t>7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, по безвозмездным поступлениям от других бюджетов бюджетной системы РФ – </w:t>
      </w:r>
      <w:r w:rsidR="005C5345">
        <w:rPr>
          <w:rFonts w:ascii="Times New Roman" w:hAnsi="Times New Roman" w:cs="Times New Roman"/>
          <w:bCs/>
          <w:sz w:val="24"/>
          <w:szCs w:val="24"/>
        </w:rPr>
        <w:t>53,7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6016">
        <w:rPr>
          <w:rFonts w:ascii="Times New Roman" w:hAnsi="Times New Roman" w:cs="Times New Roman"/>
          <w:bCs/>
          <w:sz w:val="24"/>
          <w:szCs w:val="24"/>
        </w:rPr>
        <w:t>тыс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976016">
        <w:rPr>
          <w:rFonts w:ascii="Times New Roman" w:hAnsi="Times New Roman" w:cs="Times New Roman"/>
          <w:bCs/>
          <w:sz w:val="24"/>
          <w:szCs w:val="24"/>
        </w:rPr>
        <w:t>1</w:t>
      </w:r>
      <w:r w:rsidR="0098525D">
        <w:rPr>
          <w:rFonts w:ascii="Times New Roman" w:hAnsi="Times New Roman" w:cs="Times New Roman"/>
          <w:bCs/>
          <w:sz w:val="24"/>
          <w:szCs w:val="24"/>
        </w:rPr>
        <w:t>5,7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98525D">
        <w:rPr>
          <w:rFonts w:ascii="Times New Roman" w:hAnsi="Times New Roman" w:cs="Times New Roman"/>
          <w:bCs/>
          <w:sz w:val="24"/>
          <w:szCs w:val="24"/>
        </w:rPr>
        <w:t>44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%, доля безвозмездных поступлений </w:t>
      </w:r>
      <w:r w:rsidR="0098525D">
        <w:rPr>
          <w:rFonts w:ascii="Times New Roman" w:hAnsi="Times New Roman" w:cs="Times New Roman"/>
          <w:bCs/>
          <w:sz w:val="24"/>
          <w:szCs w:val="24"/>
        </w:rPr>
        <w:t>56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009900"/>
            <wp:effectExtent l="0" t="0" r="19050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AB2" w:rsidRDefault="00E12AB2" w:rsidP="00BE3DE7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Исполнение бюджета </w:t>
      </w:r>
      <w:r w:rsidR="009760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438C">
        <w:rPr>
          <w:rFonts w:ascii="Times New Roman" w:hAnsi="Times New Roman" w:cs="Times New Roman"/>
          <w:sz w:val="24"/>
          <w:szCs w:val="24"/>
        </w:rPr>
        <w:t>«</w:t>
      </w:r>
      <w:r w:rsidR="0062139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4943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1 квартале 202</w:t>
      </w:r>
      <w:r w:rsidR="006213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доходам (</w:t>
      </w:r>
      <w:r w:rsidR="00FD1920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>руб.).</w:t>
      </w:r>
      <w:r w:rsidRPr="00FE1226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5943600" cy="2971800"/>
            <wp:effectExtent l="0" t="0" r="19050" b="1905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AB2" w:rsidRPr="00B33A54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201</w:t>
      </w:r>
      <w:r w:rsidR="0062139D">
        <w:rPr>
          <w:rFonts w:ascii="Times New Roman" w:hAnsi="Times New Roman" w:cs="Times New Roman"/>
          <w:bCs/>
          <w:sz w:val="24"/>
          <w:szCs w:val="24"/>
        </w:rPr>
        <w:t>9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 w:rsidRPr="00B33A54">
        <w:rPr>
          <w:rFonts w:ascii="Times New Roman" w:hAnsi="Times New Roman" w:cs="Times New Roman"/>
          <w:bCs/>
          <w:sz w:val="24"/>
          <w:szCs w:val="24"/>
        </w:rPr>
        <w:t>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Сравнивая показатели за 1 квартал </w:t>
      </w:r>
      <w:r w:rsidR="00F230CB">
        <w:rPr>
          <w:rFonts w:ascii="Times New Roman" w:hAnsi="Times New Roman" w:cs="Times New Roman"/>
          <w:bCs/>
          <w:sz w:val="24"/>
          <w:szCs w:val="24"/>
        </w:rPr>
        <w:t>трех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последовательно </w:t>
      </w:r>
      <w:r w:rsidR="002C352D">
        <w:rPr>
          <w:rFonts w:ascii="Times New Roman" w:hAnsi="Times New Roman" w:cs="Times New Roman"/>
          <w:bCs/>
          <w:sz w:val="24"/>
          <w:szCs w:val="24"/>
        </w:rPr>
        <w:t>поднималось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20</w:t>
      </w:r>
      <w:r w:rsidR="00F230C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годов. В первом квартале 202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 w:rsidR="002C352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0CB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суммы налоговых и неналоговых поступлений на </w:t>
      </w:r>
      <w:r w:rsidR="00F230CB">
        <w:rPr>
          <w:rFonts w:ascii="Times New Roman" w:hAnsi="Times New Roman" w:cs="Times New Roman"/>
          <w:bCs/>
          <w:sz w:val="24"/>
          <w:szCs w:val="24"/>
        </w:rPr>
        <w:t>11,7</w:t>
      </w:r>
      <w:r>
        <w:rPr>
          <w:rFonts w:ascii="Times New Roman" w:hAnsi="Times New Roman" w:cs="Times New Roman"/>
          <w:bCs/>
          <w:sz w:val="24"/>
          <w:szCs w:val="24"/>
        </w:rPr>
        <w:t>% относительно 1 квартала 202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 Размер налоговых и неналоговых поступлений в 1 квартале 202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достиг максимального значения за 4 последних года (в период с 20</w:t>
      </w:r>
      <w:r w:rsidR="00F230CB"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до 202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года).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Объем безвозмездных поступлений в первом квартале 201</w:t>
      </w:r>
      <w:r w:rsidR="000B5FEB">
        <w:rPr>
          <w:rFonts w:ascii="Times New Roman" w:hAnsi="Times New Roman" w:cs="Times New Roman"/>
          <w:bCs/>
          <w:sz w:val="24"/>
          <w:szCs w:val="24"/>
        </w:rPr>
        <w:t>9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B5FEB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демонстрировал тенденцию к </w:t>
      </w:r>
      <w:r w:rsidR="001D333D">
        <w:rPr>
          <w:rFonts w:ascii="Times New Roman" w:hAnsi="Times New Roman" w:cs="Times New Roman"/>
          <w:bCs/>
          <w:sz w:val="24"/>
          <w:szCs w:val="24"/>
        </w:rPr>
        <w:t>снижению</w:t>
      </w:r>
      <w:r>
        <w:rPr>
          <w:rFonts w:ascii="Times New Roman" w:hAnsi="Times New Roman" w:cs="Times New Roman"/>
          <w:bCs/>
          <w:sz w:val="24"/>
          <w:szCs w:val="24"/>
        </w:rPr>
        <w:t>. Так в 1 квартале 20</w:t>
      </w:r>
      <w:r w:rsidR="00F230C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составило </w:t>
      </w:r>
      <w:r w:rsidR="00F230CB">
        <w:rPr>
          <w:rFonts w:ascii="Times New Roman" w:hAnsi="Times New Roman" w:cs="Times New Roman"/>
          <w:bCs/>
          <w:sz w:val="24"/>
          <w:szCs w:val="24"/>
        </w:rPr>
        <w:t>8,4</w:t>
      </w:r>
      <w:r>
        <w:rPr>
          <w:rFonts w:ascii="Times New Roman" w:hAnsi="Times New Roman" w:cs="Times New Roman"/>
          <w:bCs/>
          <w:sz w:val="24"/>
          <w:szCs w:val="24"/>
        </w:rPr>
        <w:t>%, в 1 квартале 20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230CB">
        <w:rPr>
          <w:rFonts w:ascii="Times New Roman" w:hAnsi="Times New Roman" w:cs="Times New Roman"/>
          <w:bCs/>
          <w:sz w:val="24"/>
          <w:szCs w:val="24"/>
        </w:rPr>
        <w:t>10,7</w:t>
      </w:r>
      <w:r>
        <w:rPr>
          <w:rFonts w:ascii="Times New Roman" w:hAnsi="Times New Roman" w:cs="Times New Roman"/>
          <w:bCs/>
          <w:sz w:val="24"/>
          <w:szCs w:val="24"/>
        </w:rPr>
        <w:t>%, в 1 квартале 202</w:t>
      </w:r>
      <w:r w:rsidR="00F230C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230CB">
        <w:rPr>
          <w:rFonts w:ascii="Times New Roman" w:hAnsi="Times New Roman" w:cs="Times New Roman"/>
          <w:bCs/>
          <w:sz w:val="24"/>
          <w:szCs w:val="24"/>
        </w:rPr>
        <w:t>7,8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первом квартале 202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отмечен</w:t>
      </w:r>
      <w:r w:rsidR="00F230CB">
        <w:rPr>
          <w:rFonts w:ascii="Times New Roman" w:hAnsi="Times New Roman" w:cs="Times New Roman"/>
          <w:bCs/>
          <w:sz w:val="24"/>
          <w:szCs w:val="24"/>
        </w:rPr>
        <w:t>о 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безвозмездных поступлений </w:t>
      </w:r>
      <w:r w:rsidR="00EA40A5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0CB">
        <w:rPr>
          <w:rFonts w:ascii="Times New Roman" w:hAnsi="Times New Roman" w:cs="Times New Roman"/>
          <w:bCs/>
          <w:sz w:val="24"/>
          <w:szCs w:val="24"/>
        </w:rPr>
        <w:t>7,8</w:t>
      </w:r>
      <w:r>
        <w:rPr>
          <w:rFonts w:ascii="Times New Roman" w:hAnsi="Times New Roman" w:cs="Times New Roman"/>
          <w:bCs/>
          <w:sz w:val="24"/>
          <w:szCs w:val="24"/>
        </w:rPr>
        <w:t>% относительно аналогичного периода 202</w:t>
      </w:r>
      <w:r w:rsidR="000B5FE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E12AB2" w:rsidRPr="00B33A54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F230CB">
        <w:rPr>
          <w:rFonts w:ascii="Times New Roman" w:hAnsi="Times New Roman" w:cs="Times New Roman"/>
          <w:bCs/>
          <w:sz w:val="24"/>
          <w:szCs w:val="24"/>
        </w:rPr>
        <w:t>9,3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F230CB">
        <w:rPr>
          <w:rFonts w:ascii="Times New Roman" w:hAnsi="Times New Roman" w:cs="Times New Roman"/>
          <w:bCs/>
          <w:sz w:val="24"/>
          <w:szCs w:val="24"/>
        </w:rPr>
        <w:t>ниже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>аналогичного периода 2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="00F230CB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В структуре доходов доля со</w:t>
      </w:r>
      <w:r>
        <w:rPr>
          <w:rFonts w:ascii="Times New Roman" w:hAnsi="Times New Roman" w:cs="Times New Roman"/>
          <w:bCs/>
          <w:sz w:val="24"/>
          <w:szCs w:val="24"/>
        </w:rPr>
        <w:t>бственных доходов (</w:t>
      </w:r>
      <w:r w:rsidR="00EA40A5">
        <w:rPr>
          <w:rFonts w:ascii="Times New Roman" w:hAnsi="Times New Roman" w:cs="Times New Roman"/>
          <w:bCs/>
          <w:sz w:val="24"/>
          <w:szCs w:val="24"/>
        </w:rPr>
        <w:t>44</w:t>
      </w:r>
      <w:r>
        <w:rPr>
          <w:rFonts w:ascii="Times New Roman" w:hAnsi="Times New Roman" w:cs="Times New Roman"/>
          <w:bCs/>
          <w:sz w:val="24"/>
          <w:szCs w:val="24"/>
        </w:rPr>
        <w:t xml:space="preserve">%) находится </w:t>
      </w:r>
      <w:r w:rsidR="005149DF">
        <w:rPr>
          <w:rFonts w:ascii="Times New Roman" w:hAnsi="Times New Roman" w:cs="Times New Roman"/>
          <w:bCs/>
          <w:sz w:val="24"/>
          <w:szCs w:val="24"/>
        </w:rPr>
        <w:t>ниже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уровня 1 кв.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A40A5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6BD">
        <w:rPr>
          <w:rFonts w:ascii="Times New Roman" w:hAnsi="Times New Roman" w:cs="Times New Roman"/>
          <w:bCs/>
          <w:sz w:val="24"/>
          <w:szCs w:val="24"/>
        </w:rPr>
        <w:t>года (</w:t>
      </w:r>
      <w:r w:rsidR="00EA40A5">
        <w:rPr>
          <w:rFonts w:ascii="Times New Roman" w:hAnsi="Times New Roman" w:cs="Times New Roman"/>
          <w:bCs/>
          <w:sz w:val="24"/>
          <w:szCs w:val="24"/>
        </w:rPr>
        <w:t>33</w:t>
      </w:r>
      <w:r w:rsidRPr="005106BD">
        <w:rPr>
          <w:rFonts w:ascii="Times New Roman" w:hAnsi="Times New Roman" w:cs="Times New Roman"/>
          <w:bCs/>
          <w:sz w:val="24"/>
          <w:szCs w:val="24"/>
        </w:rPr>
        <w:t>%).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201</w:t>
      </w:r>
      <w:r w:rsidR="00F230CB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этот показатель составлял </w:t>
      </w:r>
      <w:r w:rsidR="00EA40A5">
        <w:rPr>
          <w:rFonts w:ascii="Times New Roman" w:hAnsi="Times New Roman" w:cs="Times New Roman"/>
          <w:bCs/>
          <w:sz w:val="24"/>
          <w:szCs w:val="24"/>
        </w:rPr>
        <w:t>28,4</w:t>
      </w:r>
      <w:r>
        <w:rPr>
          <w:rFonts w:ascii="Times New Roman" w:hAnsi="Times New Roman" w:cs="Times New Roman"/>
          <w:bCs/>
          <w:sz w:val="24"/>
          <w:szCs w:val="24"/>
        </w:rPr>
        <w:t>%, в 1 квартале 20</w:t>
      </w:r>
      <w:r w:rsidR="00F230CB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A40A5">
        <w:rPr>
          <w:rFonts w:ascii="Times New Roman" w:hAnsi="Times New Roman" w:cs="Times New Roman"/>
          <w:bCs/>
          <w:sz w:val="24"/>
          <w:szCs w:val="24"/>
        </w:rPr>
        <w:t>36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1 квартал 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0B5FE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доходам 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045F93">
        <w:rPr>
          <w:rFonts w:ascii="Times New Roman" w:hAnsi="Times New Roman" w:cs="Times New Roman"/>
          <w:bCs/>
          <w:sz w:val="24"/>
          <w:szCs w:val="24"/>
        </w:rPr>
        <w:t>18%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процент</w:t>
      </w:r>
      <w:r w:rsidR="00045F93">
        <w:rPr>
          <w:rFonts w:ascii="Times New Roman" w:hAnsi="Times New Roman" w:cs="Times New Roman"/>
          <w:bCs/>
          <w:sz w:val="24"/>
          <w:szCs w:val="24"/>
        </w:rPr>
        <w:t>ов от</w:t>
      </w:r>
      <w:r w:rsidR="00A32906">
        <w:rPr>
          <w:rFonts w:ascii="Times New Roman" w:hAnsi="Times New Roman" w:cs="Times New Roman"/>
          <w:bCs/>
          <w:sz w:val="24"/>
          <w:szCs w:val="24"/>
        </w:rPr>
        <w:t xml:space="preserve"> плановых</w:t>
      </w:r>
      <w:r w:rsidR="00045F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годовых назначений. </w:t>
      </w:r>
    </w:p>
    <w:p w:rsidR="00690288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Таблица 1. Структура собственных доходов, исполнение поступлений относительно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квартал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45F93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45F9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F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F4D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61E2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5149DF" w:rsidP="0038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</w:t>
            </w:r>
            <w:r w:rsidR="003866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51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НАЛОГИ НА СОВОКУПНЫЙ 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1F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386629" w:rsidP="00F6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61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F4D0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F4D05" w:rsidP="001F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F4D0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F4D05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</w:t>
            </w:r>
            <w:r w:rsidR="00C7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62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квартал 202</w:t>
            </w:r>
            <w:r w:rsidR="006213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F4D05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F4D05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C7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F6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61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7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F3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362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C7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C7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76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6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61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F6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61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F6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61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6047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69028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6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45F9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178,5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45F9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45F93" w:rsidP="00BA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362D4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442">
        <w:rPr>
          <w:rFonts w:ascii="Times New Roman" w:hAnsi="Times New Roman" w:cs="Times New Roman"/>
          <w:bCs/>
          <w:sz w:val="24"/>
          <w:szCs w:val="24"/>
        </w:rPr>
        <w:t>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относительного годового плана </w:t>
      </w:r>
      <w:r w:rsidRPr="00B33A54">
        <w:rPr>
          <w:rFonts w:ascii="Times New Roman" w:hAnsi="Times New Roman" w:cs="Times New Roman"/>
          <w:bCs/>
          <w:sz w:val="24"/>
          <w:szCs w:val="24"/>
        </w:rPr>
        <w:t>25%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более отмечено </w:t>
      </w:r>
      <w:r w:rsidR="003E184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362D4">
        <w:rPr>
          <w:rFonts w:ascii="Times New Roman" w:hAnsi="Times New Roman" w:cs="Times New Roman"/>
          <w:bCs/>
          <w:sz w:val="24"/>
          <w:szCs w:val="24"/>
        </w:rPr>
        <w:t>платежам при пользовании природными ресурсами</w:t>
      </w:r>
      <w:r w:rsidR="00F362D4" w:rsidRPr="00B33A54">
        <w:rPr>
          <w:rFonts w:ascii="Times New Roman" w:hAnsi="Times New Roman" w:cs="Times New Roman"/>
          <w:bCs/>
          <w:sz w:val="24"/>
          <w:szCs w:val="24"/>
        </w:rPr>
        <w:t>(</w:t>
      </w:r>
      <w:r w:rsidR="00F362D4">
        <w:rPr>
          <w:rFonts w:ascii="Times New Roman" w:hAnsi="Times New Roman" w:cs="Times New Roman"/>
          <w:bCs/>
          <w:sz w:val="24"/>
          <w:szCs w:val="24"/>
        </w:rPr>
        <w:t>47</w:t>
      </w:r>
      <w:r w:rsidR="00F362D4" w:rsidRPr="00B33A54">
        <w:rPr>
          <w:rFonts w:ascii="Times New Roman" w:hAnsi="Times New Roman" w:cs="Times New Roman"/>
          <w:bCs/>
          <w:sz w:val="24"/>
          <w:szCs w:val="24"/>
        </w:rPr>
        <w:t>%</w:t>
      </w:r>
      <w:r w:rsidR="00F362D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656AB">
        <w:rPr>
          <w:rFonts w:ascii="Times New Roman" w:hAnsi="Times New Roman" w:cs="Times New Roman"/>
          <w:bCs/>
          <w:sz w:val="24"/>
          <w:szCs w:val="24"/>
        </w:rPr>
        <w:t>доходы от использования имущества, находящегося в государственной и муниципальной собственности (36%), доходы от оказания платных услуг (работ) и компенсации затрат государства (25%)</w:t>
      </w:r>
      <w:r w:rsidR="00E15416" w:rsidRPr="00E15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 w:rsidRPr="00B33A54">
        <w:rPr>
          <w:rFonts w:ascii="Times New Roman" w:hAnsi="Times New Roman" w:cs="Times New Roman"/>
          <w:bCs/>
          <w:sz w:val="24"/>
          <w:szCs w:val="24"/>
        </w:rPr>
        <w:t xml:space="preserve">также значительна доля налогов на </w:t>
      </w:r>
      <w:r w:rsidR="00E15416">
        <w:rPr>
          <w:rFonts w:ascii="Times New Roman" w:hAnsi="Times New Roman" w:cs="Times New Roman"/>
          <w:bCs/>
          <w:sz w:val="24"/>
          <w:szCs w:val="24"/>
        </w:rPr>
        <w:t>налоги на товары (работы, услуги), реализуемые на территории РФ (26</w:t>
      </w:r>
      <w:r w:rsidR="00E15416"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доходов от </w:t>
      </w:r>
      <w:r w:rsidR="00E15416">
        <w:rPr>
          <w:rFonts w:ascii="Times New Roman" w:hAnsi="Times New Roman" w:cs="Times New Roman"/>
          <w:bCs/>
          <w:sz w:val="24"/>
          <w:szCs w:val="24"/>
        </w:rPr>
        <w:t>налога на имущество (29%)</w:t>
      </w:r>
      <w:r w:rsidR="00307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4">
        <w:rPr>
          <w:rFonts w:ascii="Times New Roman" w:hAnsi="Times New Roman" w:cs="Times New Roman"/>
          <w:bCs/>
          <w:sz w:val="24"/>
          <w:szCs w:val="24"/>
        </w:rPr>
        <w:t>По остальным видам собственных доходов исполнение менее 25%.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 по поступлени</w:t>
      </w:r>
      <w:r w:rsidR="00307D6E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6E">
        <w:rPr>
          <w:rFonts w:ascii="Times New Roman" w:hAnsi="Times New Roman" w:cs="Times New Roman"/>
          <w:bCs/>
          <w:sz w:val="24"/>
          <w:szCs w:val="24"/>
        </w:rPr>
        <w:t>налогов, сборов</w:t>
      </w:r>
      <w:r w:rsidR="005A73AF">
        <w:rPr>
          <w:rFonts w:ascii="Times New Roman" w:hAnsi="Times New Roman" w:cs="Times New Roman"/>
          <w:bCs/>
          <w:sz w:val="24"/>
          <w:szCs w:val="24"/>
        </w:rPr>
        <w:t xml:space="preserve"> за пользование природными ресурсами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1541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5A73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>
        <w:rPr>
          <w:rFonts w:ascii="Times New Roman" w:hAnsi="Times New Roman" w:cs="Times New Roman"/>
          <w:bCs/>
          <w:sz w:val="24"/>
          <w:szCs w:val="24"/>
        </w:rPr>
        <w:t>от продажи материальных и нематериальных активов (</w:t>
      </w:r>
      <w:r w:rsidR="005C40F0">
        <w:rPr>
          <w:rFonts w:ascii="Times New Roman" w:hAnsi="Times New Roman" w:cs="Times New Roman"/>
          <w:bCs/>
          <w:sz w:val="24"/>
          <w:szCs w:val="24"/>
        </w:rPr>
        <w:t>5</w:t>
      </w:r>
      <w:r w:rsidR="00E15416">
        <w:rPr>
          <w:rFonts w:ascii="Times New Roman" w:hAnsi="Times New Roman" w:cs="Times New Roman"/>
          <w:bCs/>
          <w:sz w:val="24"/>
          <w:szCs w:val="24"/>
        </w:rPr>
        <w:t>%)</w:t>
      </w:r>
      <w:r w:rsidR="00E15416" w:rsidRPr="00E154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5416">
        <w:rPr>
          <w:rFonts w:ascii="Times New Roman" w:hAnsi="Times New Roman" w:cs="Times New Roman"/>
          <w:bCs/>
          <w:sz w:val="24"/>
          <w:szCs w:val="24"/>
        </w:rPr>
        <w:t>штрафы, санкции, возмещение ущерба(</w:t>
      </w:r>
      <w:r w:rsidR="005C40F0">
        <w:rPr>
          <w:rFonts w:ascii="Times New Roman" w:hAnsi="Times New Roman" w:cs="Times New Roman"/>
          <w:bCs/>
          <w:sz w:val="24"/>
          <w:szCs w:val="24"/>
        </w:rPr>
        <w:t>3</w:t>
      </w:r>
      <w:r w:rsidR="00E15416">
        <w:rPr>
          <w:rFonts w:ascii="Times New Roman" w:hAnsi="Times New Roman" w:cs="Times New Roman"/>
          <w:bCs/>
          <w:sz w:val="24"/>
          <w:szCs w:val="24"/>
        </w:rPr>
        <w:t>%)</w:t>
      </w:r>
      <w:r w:rsidR="005A73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Наибольший удельный вес в структуре доходов приходится на </w:t>
      </w:r>
      <w:r w:rsidR="005C40F0">
        <w:rPr>
          <w:rFonts w:ascii="Times New Roman" w:hAnsi="Times New Roman" w:cs="Times New Roman"/>
          <w:bCs/>
          <w:sz w:val="24"/>
          <w:szCs w:val="24"/>
        </w:rPr>
        <w:t xml:space="preserve">государственную пошлину (24%), </w:t>
      </w:r>
      <w:r w:rsidR="003D0864">
        <w:rPr>
          <w:rFonts w:ascii="Times New Roman" w:hAnsi="Times New Roman" w:cs="Times New Roman"/>
          <w:bCs/>
          <w:sz w:val="24"/>
          <w:szCs w:val="24"/>
        </w:rPr>
        <w:t>совокупный доход</w:t>
      </w:r>
      <w:r w:rsidR="003D0864" w:rsidRPr="00B33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D0864">
        <w:rPr>
          <w:rFonts w:ascii="Times New Roman" w:hAnsi="Times New Roman" w:cs="Times New Roman"/>
          <w:bCs/>
          <w:sz w:val="24"/>
          <w:szCs w:val="24"/>
        </w:rPr>
        <w:t>18</w:t>
      </w:r>
      <w:r w:rsidR="003D0864" w:rsidRPr="00B33A54">
        <w:rPr>
          <w:rFonts w:ascii="Times New Roman" w:hAnsi="Times New Roman" w:cs="Times New Roman"/>
          <w:bCs/>
          <w:sz w:val="24"/>
          <w:szCs w:val="24"/>
        </w:rPr>
        <w:t>%)</w:t>
      </w:r>
      <w:r w:rsidR="003D08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3A54">
        <w:rPr>
          <w:rFonts w:ascii="Times New Roman" w:hAnsi="Times New Roman" w:cs="Times New Roman"/>
          <w:bCs/>
          <w:sz w:val="24"/>
          <w:szCs w:val="24"/>
        </w:rPr>
        <w:t>налоги на прибыль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C40F0">
        <w:rPr>
          <w:rFonts w:ascii="Times New Roman" w:hAnsi="Times New Roman" w:cs="Times New Roman"/>
          <w:bCs/>
          <w:sz w:val="24"/>
          <w:szCs w:val="24"/>
        </w:rPr>
        <w:t>23%)</w:t>
      </w:r>
      <w:r w:rsidR="00A61442"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43F">
        <w:rPr>
          <w:rFonts w:ascii="Times New Roman" w:hAnsi="Times New Roman" w:cs="Times New Roman"/>
          <w:bCs/>
          <w:sz w:val="24"/>
          <w:szCs w:val="24"/>
        </w:rPr>
        <w:t>Таблица 2</w:t>
      </w:r>
      <w:r w:rsidRPr="0068736E">
        <w:rPr>
          <w:rFonts w:ascii="Times New Roman" w:hAnsi="Times New Roman" w:cs="Times New Roman"/>
          <w:bCs/>
          <w:sz w:val="24"/>
          <w:szCs w:val="24"/>
        </w:rPr>
        <w:t>. Выполнение плана по собственным доходам в сравнении с аналогичными показателями предыдущих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0"/>
        <w:gridCol w:w="817"/>
        <w:gridCol w:w="817"/>
        <w:gridCol w:w="817"/>
        <w:gridCol w:w="817"/>
        <w:gridCol w:w="1064"/>
        <w:gridCol w:w="1005"/>
      </w:tblGrid>
      <w:tr w:rsidR="00E12AB2" w:rsidRPr="00925212" w:rsidTr="000B5FEB">
        <w:trPr>
          <w:trHeight w:val="20"/>
          <w:jc w:val="center"/>
        </w:trPr>
        <w:tc>
          <w:tcPr>
            <w:tcW w:w="3950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268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0B5FEB">
        <w:trPr>
          <w:trHeight w:val="20"/>
          <w:jc w:val="center"/>
        </w:trPr>
        <w:tc>
          <w:tcPr>
            <w:tcW w:w="3950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201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17" w:type="dxa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0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30,76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25,52</w:t>
            </w:r>
          </w:p>
        </w:tc>
        <w:tc>
          <w:tcPr>
            <w:tcW w:w="817" w:type="dxa"/>
            <w:vAlign w:val="center"/>
          </w:tcPr>
          <w:p w:rsidR="000B5FEB" w:rsidRPr="00925212" w:rsidRDefault="005C40F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0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</w:t>
            </w:r>
          </w:p>
        </w:tc>
        <w:tc>
          <w:tcPr>
            <w:tcW w:w="817" w:type="dxa"/>
            <w:vAlign w:val="center"/>
          </w:tcPr>
          <w:p w:rsidR="000B5FEB" w:rsidRPr="00925212" w:rsidRDefault="005C40F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119,3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246,4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0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НАЛОГИ НА СОВОКУПНЫЙ </w:t>
            </w: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0,50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817" w:type="dxa"/>
            <w:vAlign w:val="center"/>
          </w:tcPr>
          <w:p w:rsidR="000B5FEB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</w:tr>
      <w:tr w:rsidR="00B97A87" w:rsidRPr="00925212" w:rsidTr="000B5FEB">
        <w:trPr>
          <w:trHeight w:val="20"/>
          <w:jc w:val="center"/>
        </w:trPr>
        <w:tc>
          <w:tcPr>
            <w:tcW w:w="3950" w:type="dxa"/>
            <w:shd w:val="clear" w:color="auto" w:fill="auto"/>
            <w:vAlign w:val="center"/>
            <w:hideMark/>
          </w:tcPr>
          <w:p w:rsidR="00B97A87" w:rsidRPr="00925212" w:rsidRDefault="00B97A87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97A87" w:rsidRDefault="00B97A87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97A87" w:rsidRDefault="00B97A87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97A87" w:rsidRDefault="00B97A87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B97A87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B97A87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B97A87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0" w:type="dxa"/>
            <w:shd w:val="clear" w:color="auto" w:fill="auto"/>
            <w:vAlign w:val="center"/>
            <w:hideMark/>
          </w:tcPr>
          <w:p w:rsidR="000B5FEB" w:rsidRPr="00925212" w:rsidRDefault="000B5FEB" w:rsidP="00F0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817" w:type="dxa"/>
            <w:vAlign w:val="center"/>
          </w:tcPr>
          <w:p w:rsidR="000B5FEB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155C92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0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4"/>
        <w:gridCol w:w="816"/>
        <w:gridCol w:w="816"/>
        <w:gridCol w:w="816"/>
        <w:gridCol w:w="816"/>
        <w:gridCol w:w="1064"/>
        <w:gridCol w:w="1005"/>
      </w:tblGrid>
      <w:tr w:rsidR="00E12AB2" w:rsidRPr="00925212" w:rsidTr="000B5FEB">
        <w:trPr>
          <w:trHeight w:val="20"/>
          <w:jc w:val="center"/>
        </w:trPr>
        <w:tc>
          <w:tcPr>
            <w:tcW w:w="3954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264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0B5FEB">
        <w:trPr>
          <w:trHeight w:val="20"/>
          <w:jc w:val="center"/>
        </w:trPr>
        <w:tc>
          <w:tcPr>
            <w:tcW w:w="3954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201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кв. 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E12AB2" w:rsidRPr="00925212" w:rsidRDefault="00E12AB2" w:rsidP="000B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</w:t>
            </w:r>
            <w:r w:rsidR="000B5F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816" w:type="dxa"/>
            <w:vAlign w:val="center"/>
          </w:tcPr>
          <w:p w:rsidR="000B5FEB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816" w:type="dxa"/>
            <w:vAlign w:val="center"/>
          </w:tcPr>
          <w:p w:rsidR="000B5FEB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222,4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816" w:type="dxa"/>
            <w:vAlign w:val="center"/>
          </w:tcPr>
          <w:p w:rsidR="000B5FEB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71,2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16" w:type="dxa"/>
            <w:vAlign w:val="center"/>
          </w:tcPr>
          <w:p w:rsidR="000B5FEB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155C9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155C9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16" w:type="dxa"/>
            <w:vAlign w:val="center"/>
          </w:tcPr>
          <w:p w:rsidR="000B5FEB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155C9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16" w:type="dxa"/>
            <w:vAlign w:val="center"/>
          </w:tcPr>
          <w:p w:rsidR="000B5FEB" w:rsidRPr="00925212" w:rsidRDefault="00B97A87" w:rsidP="0015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155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  <w:tc>
          <w:tcPr>
            <w:tcW w:w="816" w:type="dxa"/>
            <w:vAlign w:val="center"/>
          </w:tcPr>
          <w:p w:rsidR="000B5FEB" w:rsidRPr="00925212" w:rsidRDefault="00B97A87" w:rsidP="0015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155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25212" w:rsidRDefault="00155C9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25212" w:rsidRDefault="00155C9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B5FEB" w:rsidRPr="00925212" w:rsidTr="000B5FEB">
        <w:trPr>
          <w:trHeight w:val="20"/>
          <w:jc w:val="center"/>
        </w:trPr>
        <w:tc>
          <w:tcPr>
            <w:tcW w:w="3954" w:type="dxa"/>
            <w:shd w:val="clear" w:color="auto" w:fill="auto"/>
            <w:vAlign w:val="center"/>
            <w:hideMark/>
          </w:tcPr>
          <w:p w:rsidR="000B5FEB" w:rsidRPr="00925212" w:rsidRDefault="000B5FEB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30,60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36,15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0B5FEB" w:rsidRPr="00925212" w:rsidRDefault="000B5FEB" w:rsidP="00040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33,86</w:t>
            </w:r>
          </w:p>
        </w:tc>
        <w:tc>
          <w:tcPr>
            <w:tcW w:w="816" w:type="dxa"/>
            <w:vAlign w:val="center"/>
          </w:tcPr>
          <w:p w:rsidR="000B5FEB" w:rsidRPr="00925212" w:rsidRDefault="00B97A8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42,27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0B5FEB" w:rsidRPr="00916386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B5FEB" w:rsidRPr="00916386" w:rsidRDefault="00040F6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40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CCE">
        <w:rPr>
          <w:rFonts w:ascii="Times New Roman" w:hAnsi="Times New Roman" w:cs="Times New Roman"/>
          <w:bCs/>
          <w:sz w:val="24"/>
          <w:szCs w:val="24"/>
        </w:rPr>
        <w:t>По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сравн</w:t>
      </w:r>
      <w:r>
        <w:rPr>
          <w:rFonts w:ascii="Times New Roman" w:hAnsi="Times New Roman" w:cs="Times New Roman"/>
          <w:bCs/>
          <w:sz w:val="24"/>
          <w:szCs w:val="24"/>
        </w:rPr>
        <w:t>ению с аналогичным периодом 2019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40F6D">
        <w:rPr>
          <w:rFonts w:ascii="Times New Roman" w:hAnsi="Times New Roman" w:cs="Times New Roman"/>
          <w:bCs/>
          <w:sz w:val="24"/>
          <w:szCs w:val="24"/>
        </w:rPr>
        <w:t>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стабильный рост наблюдается по </w:t>
      </w:r>
      <w:r w:rsidR="00E16008">
        <w:rPr>
          <w:rFonts w:ascii="Times New Roman" w:hAnsi="Times New Roman" w:cs="Times New Roman"/>
          <w:bCs/>
          <w:sz w:val="24"/>
          <w:szCs w:val="24"/>
        </w:rPr>
        <w:t xml:space="preserve">налогу на прибыль, 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поступлениям от </w:t>
      </w:r>
      <w:r w:rsidR="006E6225">
        <w:rPr>
          <w:rFonts w:ascii="Times New Roman" w:hAnsi="Times New Roman" w:cs="Times New Roman"/>
          <w:bCs/>
          <w:sz w:val="24"/>
          <w:szCs w:val="24"/>
        </w:rPr>
        <w:t xml:space="preserve">платежей при пользовании природными ресурсами 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налогов на </w:t>
      </w:r>
      <w:r>
        <w:rPr>
          <w:rFonts w:ascii="Times New Roman" w:hAnsi="Times New Roman" w:cs="Times New Roman"/>
          <w:bCs/>
          <w:sz w:val="24"/>
          <w:szCs w:val="24"/>
        </w:rPr>
        <w:t>товары,</w:t>
      </w:r>
      <w:r w:rsidR="003C4D1B">
        <w:rPr>
          <w:rFonts w:ascii="Times New Roman" w:hAnsi="Times New Roman" w:cs="Times New Roman"/>
          <w:bCs/>
          <w:sz w:val="24"/>
          <w:szCs w:val="24"/>
        </w:rPr>
        <w:t xml:space="preserve"> налог на государственную пошлину.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Значительный рост относительно 1 квартала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76802">
        <w:rPr>
          <w:rFonts w:ascii="Times New Roman" w:hAnsi="Times New Roman" w:cs="Times New Roman"/>
          <w:bCs/>
          <w:sz w:val="24"/>
          <w:szCs w:val="24"/>
        </w:rPr>
        <w:t>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произошел по сумме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налогов на товары (на </w:t>
      </w:r>
      <w:r w:rsidR="00E16008">
        <w:rPr>
          <w:rFonts w:ascii="Times New Roman" w:hAnsi="Times New Roman" w:cs="Times New Roman"/>
          <w:bCs/>
          <w:sz w:val="24"/>
          <w:szCs w:val="24"/>
        </w:rPr>
        <w:t>19,3</w:t>
      </w:r>
      <w:r>
        <w:rPr>
          <w:rFonts w:ascii="Times New Roman" w:hAnsi="Times New Roman" w:cs="Times New Roman"/>
          <w:bCs/>
          <w:sz w:val="24"/>
          <w:szCs w:val="24"/>
        </w:rPr>
        <w:t>%), доход</w:t>
      </w:r>
      <w:r w:rsidR="000748AC">
        <w:rPr>
          <w:rFonts w:ascii="Times New Roman" w:hAnsi="Times New Roman" w:cs="Times New Roman"/>
          <w:bCs/>
          <w:sz w:val="24"/>
          <w:szCs w:val="24"/>
        </w:rPr>
        <w:t>ы от использования имущества, находящихся в государственной и муниципальной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748AC">
        <w:rPr>
          <w:rFonts w:ascii="Times New Roman" w:hAnsi="Times New Roman" w:cs="Times New Roman"/>
          <w:bCs/>
          <w:sz w:val="24"/>
          <w:szCs w:val="24"/>
        </w:rPr>
        <w:t>на 11,9%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>Снижение относительно 1 квартала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E16008">
        <w:rPr>
          <w:rFonts w:ascii="Times New Roman" w:hAnsi="Times New Roman" w:cs="Times New Roman"/>
          <w:bCs/>
          <w:sz w:val="24"/>
          <w:szCs w:val="24"/>
        </w:rPr>
        <w:t>1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произошло по поступлению</w:t>
      </w:r>
      <w:r w:rsidR="000748AC">
        <w:rPr>
          <w:rFonts w:ascii="Times New Roman" w:hAnsi="Times New Roman" w:cs="Times New Roman"/>
          <w:bCs/>
          <w:sz w:val="24"/>
          <w:szCs w:val="24"/>
        </w:rPr>
        <w:t xml:space="preserve"> налога на совокупный доход на (20,4%), </w:t>
      </w:r>
      <w:r w:rsidR="003C4D1B">
        <w:rPr>
          <w:rFonts w:ascii="Times New Roman" w:hAnsi="Times New Roman" w:cs="Times New Roman"/>
          <w:bCs/>
          <w:sz w:val="24"/>
          <w:szCs w:val="24"/>
        </w:rPr>
        <w:t>платежи при пользовании природными ресурсами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3C4D1B">
        <w:rPr>
          <w:rFonts w:ascii="Times New Roman" w:hAnsi="Times New Roman" w:cs="Times New Roman"/>
          <w:bCs/>
          <w:sz w:val="24"/>
          <w:szCs w:val="24"/>
        </w:rPr>
        <w:t>34,4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</w:t>
      </w:r>
      <w:r w:rsidR="003C4D1B">
        <w:rPr>
          <w:rFonts w:ascii="Times New Roman" w:hAnsi="Times New Roman" w:cs="Times New Roman"/>
          <w:bCs/>
          <w:sz w:val="24"/>
          <w:szCs w:val="24"/>
        </w:rPr>
        <w:t>продажи материальных и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(на </w:t>
      </w:r>
      <w:r w:rsidR="003C4D1B">
        <w:rPr>
          <w:rFonts w:ascii="Times New Roman" w:hAnsi="Times New Roman" w:cs="Times New Roman"/>
          <w:bCs/>
          <w:sz w:val="24"/>
          <w:szCs w:val="24"/>
        </w:rPr>
        <w:t>68,4</w:t>
      </w:r>
      <w:r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3C4D1B">
        <w:rPr>
          <w:rFonts w:ascii="Times New Roman" w:hAnsi="Times New Roman" w:cs="Times New Roman"/>
          <w:bCs/>
          <w:sz w:val="24"/>
          <w:szCs w:val="24"/>
        </w:rPr>
        <w:t xml:space="preserve">налоги, сборы и регулярные платежи за пользование природными ресурсами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(на </w:t>
      </w:r>
      <w:r w:rsidR="003C4D1B">
        <w:rPr>
          <w:rFonts w:ascii="Times New Roman" w:hAnsi="Times New Roman" w:cs="Times New Roman"/>
          <w:bCs/>
          <w:sz w:val="24"/>
          <w:szCs w:val="24"/>
        </w:rPr>
        <w:t>20,4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3. Информация по безвозмездным поступлениям в 1 квартале 202</w:t>
      </w:r>
      <w:r w:rsidR="003B7F8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руб.).</w:t>
      </w:r>
    </w:p>
    <w:tbl>
      <w:tblPr>
        <w:tblW w:w="9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389"/>
        <w:gridCol w:w="1843"/>
        <w:gridCol w:w="1223"/>
        <w:gridCol w:w="1276"/>
      </w:tblGrid>
      <w:tr w:rsidR="00E12AB2" w:rsidRPr="004036A1" w:rsidTr="001044B9">
        <w:trPr>
          <w:trHeight w:val="20"/>
        </w:trPr>
        <w:tc>
          <w:tcPr>
            <w:tcW w:w="53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3B7F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Утвержденные бюджетные назначения на </w:t>
            </w:r>
            <w:r w:rsidR="00567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3B7F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67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год, </w:t>
            </w:r>
            <w:r w:rsidR="001E1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24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 1 квартал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FD1920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="00E12AB2"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56,03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126,91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143,46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90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7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субсидий, субвенций и иных </w:t>
            </w:r>
            <w:r w:rsidRPr="0040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межбюджетных трансфертов, имеющих целевое значение, прошлых лет бюджетами городских округов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90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07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342,44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907FE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53,65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907F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07F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403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E12AB2" w:rsidRPr="00254779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FE5">
        <w:rPr>
          <w:rFonts w:ascii="Times New Roman" w:hAnsi="Times New Roman" w:cs="Times New Roman"/>
          <w:sz w:val="24"/>
          <w:szCs w:val="24"/>
        </w:rPr>
        <w:t>В целом</w:t>
      </w:r>
      <w:r w:rsidRPr="00254779">
        <w:rPr>
          <w:rFonts w:ascii="Times New Roman" w:hAnsi="Times New Roman" w:cs="Times New Roman"/>
          <w:sz w:val="24"/>
          <w:szCs w:val="24"/>
        </w:rPr>
        <w:t xml:space="preserve"> безвозмездные поступления (с учетом возвратов остатков субсидий и иных межбюджетных трансфертов) за 1 квартал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3DE7">
        <w:rPr>
          <w:rFonts w:ascii="Times New Roman" w:hAnsi="Times New Roman" w:cs="Times New Roman"/>
          <w:sz w:val="24"/>
          <w:szCs w:val="24"/>
        </w:rPr>
        <w:t>77,9%</w:t>
      </w:r>
      <w:r w:rsidRPr="00254779">
        <w:rPr>
          <w:rFonts w:ascii="Times New Roman" w:hAnsi="Times New Roman" w:cs="Times New Roman"/>
          <w:sz w:val="24"/>
          <w:szCs w:val="24"/>
        </w:rPr>
        <w:t xml:space="preserve"> от утвержденных годовых назначений.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>
        <w:rPr>
          <w:rFonts w:ascii="Times New Roman" w:hAnsi="Times New Roman" w:cs="Times New Roman"/>
          <w:sz w:val="24"/>
          <w:szCs w:val="24"/>
        </w:rPr>
        <w:t xml:space="preserve">чено по поступлению субсидий – </w:t>
      </w:r>
      <w:r w:rsidR="00BE3DE7">
        <w:rPr>
          <w:rFonts w:ascii="Times New Roman" w:hAnsi="Times New Roman" w:cs="Times New Roman"/>
          <w:sz w:val="24"/>
          <w:szCs w:val="24"/>
        </w:rPr>
        <w:t>3</w:t>
      </w:r>
      <w:r w:rsidRPr="00254779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625" cy="3257550"/>
            <wp:effectExtent l="0" t="0" r="9525" b="1905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2AB2" w:rsidRPr="00D00F07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D1B">
        <w:rPr>
          <w:rFonts w:ascii="Times New Roman" w:hAnsi="Times New Roman" w:cs="Times New Roman"/>
          <w:bCs/>
          <w:sz w:val="24"/>
          <w:szCs w:val="24"/>
        </w:rPr>
        <w:t>Рисунок 3.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Анализ безвозмездных перечислений, в сравнении с аналогичными показателями 1 квартала 201</w:t>
      </w:r>
      <w:r w:rsidR="00626F9B">
        <w:rPr>
          <w:rFonts w:ascii="Times New Roman" w:hAnsi="Times New Roman" w:cs="Times New Roman"/>
          <w:bCs/>
          <w:sz w:val="24"/>
          <w:szCs w:val="24"/>
        </w:rPr>
        <w:t>9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-20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26F9B">
        <w:rPr>
          <w:rFonts w:ascii="Times New Roman" w:hAnsi="Times New Roman" w:cs="Times New Roman"/>
          <w:bCs/>
          <w:sz w:val="24"/>
          <w:szCs w:val="24"/>
        </w:rPr>
        <w:t>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годов (</w:t>
      </w:r>
      <w:r w:rsidR="001E1B69">
        <w:rPr>
          <w:rFonts w:ascii="Times New Roman" w:hAnsi="Times New Roman" w:cs="Times New Roman"/>
          <w:bCs/>
          <w:sz w:val="24"/>
          <w:szCs w:val="24"/>
        </w:rPr>
        <w:t>млн</w:t>
      </w:r>
      <w:r w:rsidRPr="00D00F07">
        <w:rPr>
          <w:rFonts w:ascii="Times New Roman" w:hAnsi="Times New Roman" w:cs="Times New Roman"/>
          <w:bCs/>
          <w:sz w:val="24"/>
          <w:szCs w:val="24"/>
        </w:rPr>
        <w:t>. руб.)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B2" w:rsidRPr="00D00F07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19C">
        <w:rPr>
          <w:rFonts w:ascii="Times New Roman" w:hAnsi="Times New Roman" w:cs="Times New Roman"/>
          <w:bCs/>
          <w:sz w:val="24"/>
          <w:szCs w:val="24"/>
        </w:rPr>
        <w:t>За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четыре </w:t>
      </w:r>
      <w:r w:rsidRPr="00D00F07">
        <w:rPr>
          <w:rFonts w:ascii="Times New Roman" w:hAnsi="Times New Roman" w:cs="Times New Roman"/>
          <w:bCs/>
          <w:sz w:val="24"/>
          <w:szCs w:val="24"/>
        </w:rPr>
        <w:t>года (201</w:t>
      </w:r>
      <w:r w:rsidR="00626F9B">
        <w:rPr>
          <w:rFonts w:ascii="Times New Roman" w:hAnsi="Times New Roman" w:cs="Times New Roman"/>
          <w:bCs/>
          <w:sz w:val="24"/>
          <w:szCs w:val="24"/>
        </w:rPr>
        <w:t>9</w:t>
      </w:r>
      <w:r w:rsidRPr="00D00F07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гг.)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отмечена тенденция к </w:t>
      </w:r>
      <w:r w:rsidR="00FD1920">
        <w:rPr>
          <w:rFonts w:ascii="Times New Roman" w:hAnsi="Times New Roman" w:cs="Times New Roman"/>
          <w:bCs/>
          <w:sz w:val="24"/>
          <w:szCs w:val="24"/>
        </w:rPr>
        <w:t>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общего объема безвозмездных поступлений в 1 квартале. В 1 квартале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3C4D1B">
        <w:rPr>
          <w:rFonts w:ascii="Times New Roman" w:hAnsi="Times New Roman" w:cs="Times New Roman"/>
          <w:bCs/>
          <w:sz w:val="24"/>
          <w:szCs w:val="24"/>
        </w:rPr>
        <w:t>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общий объем безвозмездных поступлений на </w:t>
      </w:r>
      <w:r w:rsidR="000A59A1">
        <w:rPr>
          <w:rFonts w:ascii="Times New Roman" w:hAnsi="Times New Roman" w:cs="Times New Roman"/>
          <w:bCs/>
          <w:sz w:val="24"/>
          <w:szCs w:val="24"/>
        </w:rPr>
        <w:t>106,6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0A59A1">
        <w:rPr>
          <w:rFonts w:ascii="Times New Roman" w:hAnsi="Times New Roman" w:cs="Times New Roman"/>
          <w:bCs/>
          <w:sz w:val="24"/>
          <w:szCs w:val="24"/>
        </w:rPr>
        <w:t>выше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аналог</w:t>
      </w:r>
      <w:r>
        <w:rPr>
          <w:rFonts w:ascii="Times New Roman" w:hAnsi="Times New Roman" w:cs="Times New Roman"/>
          <w:bCs/>
          <w:sz w:val="24"/>
          <w:szCs w:val="24"/>
        </w:rPr>
        <w:t>ичных значений предыдущего года</w:t>
      </w:r>
      <w:r w:rsidRPr="00D00F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202</w:t>
      </w:r>
      <w:r w:rsidR="003C4D1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темпы роста составили </w:t>
      </w:r>
      <w:r w:rsidR="000A59A1">
        <w:rPr>
          <w:rFonts w:ascii="Times New Roman" w:hAnsi="Times New Roman" w:cs="Times New Roman"/>
          <w:bCs/>
          <w:sz w:val="24"/>
          <w:szCs w:val="24"/>
        </w:rPr>
        <w:t>22,1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>й в первом квартале демонстрировало незначительные колебания</w:t>
      </w:r>
      <w:r w:rsidR="001727E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к росту, так и к 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>, в 1 квартале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A59A1">
        <w:rPr>
          <w:rFonts w:ascii="Times New Roman" w:hAnsi="Times New Roman" w:cs="Times New Roman"/>
          <w:bCs/>
          <w:sz w:val="24"/>
          <w:szCs w:val="24"/>
        </w:rPr>
        <w:t>2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0A59A1">
        <w:rPr>
          <w:rFonts w:ascii="Times New Roman" w:hAnsi="Times New Roman" w:cs="Times New Roman"/>
          <w:bCs/>
          <w:sz w:val="24"/>
          <w:szCs w:val="24"/>
        </w:rPr>
        <w:t>увеличение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аналогичному периоду 202</w:t>
      </w:r>
      <w:r w:rsidR="000A59A1">
        <w:rPr>
          <w:rFonts w:ascii="Times New Roman" w:hAnsi="Times New Roman" w:cs="Times New Roman"/>
          <w:bCs/>
          <w:sz w:val="24"/>
          <w:szCs w:val="24"/>
        </w:rPr>
        <w:t>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0A59A1">
        <w:rPr>
          <w:rFonts w:ascii="Times New Roman" w:hAnsi="Times New Roman" w:cs="Times New Roman"/>
          <w:bCs/>
          <w:sz w:val="24"/>
          <w:szCs w:val="24"/>
        </w:rPr>
        <w:t>1,9</w:t>
      </w:r>
      <w:r w:rsidRPr="00D00F0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поступления субсидий </w:t>
      </w:r>
      <w:r w:rsidR="00AB619C">
        <w:rPr>
          <w:rFonts w:ascii="Times New Roman" w:hAnsi="Times New Roman" w:cs="Times New Roman"/>
          <w:bCs/>
          <w:sz w:val="24"/>
          <w:szCs w:val="24"/>
        </w:rPr>
        <w:t>увеличился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на </w:t>
      </w:r>
      <w:r w:rsidR="000A59A1">
        <w:rPr>
          <w:rFonts w:ascii="Times New Roman" w:hAnsi="Times New Roman" w:cs="Times New Roman"/>
          <w:bCs/>
          <w:sz w:val="24"/>
          <w:szCs w:val="24"/>
        </w:rPr>
        <w:t>23,7</w:t>
      </w:r>
      <w:r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Поступление субвенций в 1 квартале 202</w:t>
      </w:r>
      <w:r w:rsidR="000A59A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B619C">
        <w:rPr>
          <w:rFonts w:ascii="Times New Roman" w:hAnsi="Times New Roman" w:cs="Times New Roman"/>
          <w:bCs/>
          <w:sz w:val="24"/>
          <w:szCs w:val="24"/>
        </w:rPr>
        <w:t>увеличилось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202</w:t>
      </w:r>
      <w:r w:rsidR="000A59A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842919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Отмечен</w:t>
      </w:r>
      <w:r w:rsidR="00842919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919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поступления иных межбюджетных трансфертов (</w:t>
      </w:r>
      <w:r w:rsidR="00842919">
        <w:rPr>
          <w:rFonts w:ascii="Times New Roman" w:hAnsi="Times New Roman" w:cs="Times New Roman"/>
          <w:bCs/>
          <w:sz w:val="24"/>
          <w:szCs w:val="24"/>
        </w:rPr>
        <w:t>на 47%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аналогичного периода прошлого года).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07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расходов бюджета </w:t>
      </w:r>
      <w:r w:rsidR="0073282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3B7F8D" w:rsidRPr="003B7F8D">
        <w:rPr>
          <w:rFonts w:ascii="Times New Roman" w:hAnsi="Times New Roman" w:cs="Times New Roman"/>
          <w:b/>
          <w:sz w:val="24"/>
          <w:szCs w:val="24"/>
        </w:rPr>
        <w:t>Муниципальный округ Каракулинский район Удмуртской Республики</w:t>
      </w:r>
      <w:r w:rsidR="00732827">
        <w:rPr>
          <w:rFonts w:ascii="Times New Roman" w:hAnsi="Times New Roman" w:cs="Times New Roman"/>
          <w:b/>
          <w:sz w:val="24"/>
          <w:szCs w:val="24"/>
        </w:rPr>
        <w:t>»</w:t>
      </w:r>
      <w:r w:rsidRPr="00D00F07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732827">
        <w:rPr>
          <w:rFonts w:ascii="Times New Roman" w:hAnsi="Times New Roman" w:cs="Times New Roman"/>
          <w:sz w:val="24"/>
          <w:szCs w:val="24"/>
        </w:rPr>
        <w:t>»</w:t>
      </w:r>
      <w:r w:rsidRPr="001B497E">
        <w:rPr>
          <w:rFonts w:ascii="Times New Roman" w:hAnsi="Times New Roman" w:cs="Times New Roman"/>
          <w:sz w:val="24"/>
          <w:szCs w:val="24"/>
        </w:rPr>
        <w:t xml:space="preserve"> в 1 квартале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732827">
        <w:rPr>
          <w:rFonts w:ascii="Times New Roman" w:hAnsi="Times New Roman" w:cs="Times New Roman"/>
          <w:sz w:val="24"/>
          <w:szCs w:val="24"/>
        </w:rPr>
        <w:t>1</w:t>
      </w:r>
      <w:r w:rsidR="00842919">
        <w:rPr>
          <w:rFonts w:ascii="Times New Roman" w:hAnsi="Times New Roman" w:cs="Times New Roman"/>
          <w:sz w:val="24"/>
          <w:szCs w:val="24"/>
        </w:rPr>
        <w:t>14,57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8429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AB2" w:rsidRPr="001B497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97E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плановых назначений по доходам (</w:t>
      </w:r>
      <w:r w:rsidR="00842919">
        <w:rPr>
          <w:rFonts w:ascii="Times New Roman" w:hAnsi="Times New Roman" w:cs="Times New Roman"/>
          <w:bCs/>
          <w:sz w:val="24"/>
          <w:szCs w:val="24"/>
        </w:rPr>
        <w:t>30,0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на </w:t>
      </w:r>
      <w:r w:rsidR="00842919">
        <w:rPr>
          <w:rFonts w:ascii="Times New Roman" w:hAnsi="Times New Roman" w:cs="Times New Roman"/>
          <w:bCs/>
          <w:sz w:val="24"/>
          <w:szCs w:val="24"/>
        </w:rPr>
        <w:t>9%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выше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выполнения плановых назначений по расходам (</w:t>
      </w:r>
      <w:r w:rsidR="00842919">
        <w:rPr>
          <w:rFonts w:ascii="Times New Roman" w:hAnsi="Times New Roman" w:cs="Times New Roman"/>
          <w:bCs/>
          <w:sz w:val="24"/>
          <w:szCs w:val="24"/>
        </w:rPr>
        <w:t>21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Pr="001B497E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7328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1 квартале 202</w:t>
      </w:r>
      <w:r w:rsidR="008429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имел социальную направленность, расходы на социальную сферу составили </w:t>
      </w:r>
      <w:r w:rsidR="0021493F">
        <w:rPr>
          <w:rFonts w:ascii="Times New Roman" w:hAnsi="Times New Roman" w:cs="Times New Roman"/>
          <w:sz w:val="24"/>
          <w:szCs w:val="24"/>
        </w:rPr>
        <w:t>74,4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21493F">
        <w:rPr>
          <w:rFonts w:ascii="Times New Roman" w:hAnsi="Times New Roman" w:cs="Times New Roman"/>
          <w:sz w:val="24"/>
          <w:szCs w:val="24"/>
        </w:rPr>
        <w:t>60,8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9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93F">
        <w:rPr>
          <w:rFonts w:ascii="Times New Roman" w:hAnsi="Times New Roman" w:cs="Times New Roman"/>
          <w:sz w:val="24"/>
          <w:szCs w:val="24"/>
        </w:rPr>
        <w:t>1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DD0A39">
        <w:rPr>
          <w:rFonts w:ascii="Times New Roman" w:hAnsi="Times New Roman" w:cs="Times New Roman"/>
          <w:sz w:val="24"/>
          <w:szCs w:val="24"/>
        </w:rPr>
        <w:t>0,3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на социальную политику – </w:t>
      </w:r>
      <w:r w:rsidR="00DD0A39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Исполнение бюджета </w:t>
      </w:r>
      <w:r w:rsidR="00DD0A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>в 1 квартале 202</w:t>
      </w:r>
      <w:r w:rsidR="000B5F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 разделам бюджетной классификации. 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/>
      </w:tblPr>
      <w:tblGrid>
        <w:gridCol w:w="3984"/>
        <w:gridCol w:w="1701"/>
        <w:gridCol w:w="1356"/>
        <w:gridCol w:w="1405"/>
        <w:gridCol w:w="1066"/>
      </w:tblGrid>
      <w:tr w:rsidR="00E12AB2" w:rsidRPr="00720B3D" w:rsidTr="001044B9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DD0A3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 xml:space="preserve">Утвержденный план, </w:t>
            </w:r>
            <w:r w:rsidR="00DD0A39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</w:rPr>
              <w:t>Исполнение за 1 квартал</w:t>
            </w:r>
          </w:p>
        </w:tc>
        <w:tc>
          <w:tcPr>
            <w:tcW w:w="1066" w:type="dxa"/>
            <w:vMerge w:val="restart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Доля, 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DD0A39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млн</w:t>
            </w:r>
            <w:r w:rsidR="00E12AB2"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66" w:type="dxa"/>
            <w:vMerge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30388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92,02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30388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19,53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30388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21,0</w:t>
            </w:r>
            <w:r w:rsidR="00DD0A3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9F38D2" w:rsidP="00C637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  <w:r w:rsidR="00C637B2">
              <w:rPr>
                <w:rFonts w:ascii="Times New Roman" w:hAnsi="Times New Roman" w:cs="Times New Roman"/>
                <w:color w:val="000000"/>
              </w:rPr>
              <w:t>2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17%</w:t>
            </w:r>
          </w:p>
        </w:tc>
        <w:tc>
          <w:tcPr>
            <w:tcW w:w="1066" w:type="dxa"/>
          </w:tcPr>
          <w:p w:rsidR="00434AFB" w:rsidRDefault="009F38D2" w:rsidP="00C637B2"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C637B2">
              <w:rPr>
                <w:rFonts w:ascii="Times New Roman" w:hAnsi="Times New Roman" w:cs="Times New Roman"/>
                <w:color w:val="000000"/>
              </w:rPr>
              <w:t>9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9F3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</w:t>
            </w:r>
            <w:r w:rsidR="009F38D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7%</w:t>
            </w:r>
          </w:p>
        </w:tc>
        <w:tc>
          <w:tcPr>
            <w:tcW w:w="1066" w:type="dxa"/>
          </w:tcPr>
          <w:p w:rsidR="00434AFB" w:rsidRDefault="009F38D2" w:rsidP="00C637B2"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C637B2">
              <w:rPr>
                <w:rFonts w:ascii="Times New Roman" w:hAnsi="Times New Roman" w:cs="Times New Roman"/>
                <w:color w:val="000000"/>
              </w:rPr>
              <w:t>9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E30388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388">
              <w:rPr>
                <w:rFonts w:ascii="Times New Roman" w:hAnsi="Times New Roman" w:cs="Times New Roman"/>
                <w:i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24,19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434AFB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9F38D2" w:rsidP="009F38D2">
            <w:r>
              <w:rPr>
                <w:rFonts w:ascii="Times New Roman" w:hAnsi="Times New Roman" w:cs="Times New Roman"/>
                <w:color w:val="000000"/>
              </w:rPr>
              <w:t>3,8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E30388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30388">
              <w:rPr>
                <w:rFonts w:ascii="Times New Roman" w:hAnsi="Times New Roman" w:cs="Times New Roman"/>
                <w:i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33,43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434AFB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434AFB" w:rsidP="009F38D2">
            <w:r w:rsidRPr="00ED02CE">
              <w:rPr>
                <w:rFonts w:ascii="Times New Roman" w:hAnsi="Times New Roman" w:cs="Times New Roman"/>
                <w:color w:val="000000"/>
              </w:rPr>
              <w:t>1</w:t>
            </w:r>
            <w:r w:rsidR="009F38D2">
              <w:rPr>
                <w:rFonts w:ascii="Times New Roman" w:hAnsi="Times New Roman" w:cs="Times New Roman"/>
                <w:color w:val="000000"/>
              </w:rPr>
              <w:t>,4</w:t>
            </w:r>
            <w:r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434AFB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434AFB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434AFB"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280,24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77,27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434AFB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9F38D2">
            <w:r>
              <w:rPr>
                <w:rFonts w:ascii="Times New Roman" w:hAnsi="Times New Roman" w:cs="Times New Roman"/>
                <w:color w:val="000000"/>
              </w:rPr>
              <w:t>67,4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107,51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F2582F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434AFB"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9F38D2">
            <w:r>
              <w:rPr>
                <w:rFonts w:ascii="Times New Roman" w:hAnsi="Times New Roman" w:cs="Times New Roman"/>
                <w:color w:val="000000"/>
              </w:rPr>
              <w:t>8,3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F2582F" w:rsidP="00434AF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434AFB"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9F38D2">
            <w:r>
              <w:rPr>
                <w:rFonts w:ascii="Times New Roman" w:hAnsi="Times New Roman" w:cs="Times New Roman"/>
                <w:color w:val="000000"/>
              </w:rPr>
              <w:t>1,5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9F38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  <w:r w:rsidR="009F38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F2582F" w:rsidP="00434AFB">
            <w:pPr>
              <w:jc w:val="center"/>
            </w:pPr>
            <w:r w:rsidRPr="00F2582F">
              <w:rPr>
                <w:rFonts w:ascii="Times New Roman" w:hAnsi="Times New Roman" w:cs="Times New Roman"/>
              </w:rPr>
              <w:t>11</w:t>
            </w:r>
            <w:r>
              <w:t>%</w:t>
            </w:r>
          </w:p>
        </w:tc>
        <w:tc>
          <w:tcPr>
            <w:tcW w:w="1066" w:type="dxa"/>
          </w:tcPr>
          <w:p w:rsidR="00434AFB" w:rsidRDefault="009F38D2">
            <w:r>
              <w:rPr>
                <w:rFonts w:ascii="Times New Roman" w:hAnsi="Times New Roman" w:cs="Times New Roman"/>
                <w:color w:val="000000"/>
              </w:rPr>
              <w:t>0,1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A90BC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F2582F" w:rsidP="00D513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F2582F" w:rsidP="00F2582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434AFB" w:rsidRPr="00017D5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</w:tcPr>
          <w:p w:rsidR="00434AFB" w:rsidRDefault="009F38D2">
            <w:r>
              <w:rPr>
                <w:rFonts w:ascii="Times New Roman" w:hAnsi="Times New Roman" w:cs="Times New Roman"/>
                <w:color w:val="000000"/>
              </w:rPr>
              <w:t>0,3</w:t>
            </w:r>
            <w:r w:rsidR="00434AFB" w:rsidRPr="00ED02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434AFB" w:rsidRPr="00720B3D" w:rsidTr="00A154BA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4AFB" w:rsidRPr="00720B3D" w:rsidRDefault="00434AF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34AFB" w:rsidRDefault="00434AFB" w:rsidP="00434AFB">
            <w:pPr>
              <w:jc w:val="center"/>
            </w:pPr>
          </w:p>
        </w:tc>
        <w:tc>
          <w:tcPr>
            <w:tcW w:w="1066" w:type="dxa"/>
          </w:tcPr>
          <w:p w:rsidR="00434AFB" w:rsidRDefault="00434AFB"/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30388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549,82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30388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114,57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30388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21,0</w:t>
            </w:r>
            <w:r w:rsidR="00E12AB2" w:rsidRPr="00720B3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0B3D">
              <w:rPr>
                <w:rFonts w:ascii="Times New Roman" w:hAnsi="Times New Roman" w:cs="Times New Roman"/>
                <w:b/>
                <w:color w:val="000000"/>
              </w:rPr>
              <w:t>100,0%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25% исполнение составило по раздел</w:t>
      </w:r>
      <w:r w:rsidR="00C775E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37B2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8BF">
        <w:rPr>
          <w:rFonts w:ascii="Times New Roman" w:hAnsi="Times New Roman" w:cs="Times New Roman"/>
          <w:sz w:val="24"/>
          <w:szCs w:val="24"/>
        </w:rPr>
        <w:t xml:space="preserve">Менее 25% от годовых назначений исполнение по </w:t>
      </w:r>
      <w:r>
        <w:rPr>
          <w:rFonts w:ascii="Times New Roman" w:hAnsi="Times New Roman" w:cs="Times New Roman"/>
          <w:sz w:val="24"/>
          <w:szCs w:val="24"/>
        </w:rPr>
        <w:t>остальным</w:t>
      </w:r>
      <w:r w:rsidRPr="00AB08BF">
        <w:rPr>
          <w:rFonts w:ascii="Times New Roman" w:hAnsi="Times New Roman" w:cs="Times New Roman"/>
          <w:sz w:val="24"/>
          <w:szCs w:val="24"/>
        </w:rPr>
        <w:t xml:space="preserve"> разделам</w:t>
      </w:r>
      <w:r w:rsidR="00C637B2" w:rsidRPr="00C637B2">
        <w:rPr>
          <w:rFonts w:ascii="Times New Roman" w:hAnsi="Times New Roman" w:cs="Times New Roman"/>
          <w:sz w:val="24"/>
          <w:szCs w:val="24"/>
        </w:rPr>
        <w:t xml:space="preserve"> </w:t>
      </w:r>
      <w:r w:rsidR="00C637B2">
        <w:rPr>
          <w:rFonts w:ascii="Times New Roman" w:hAnsi="Times New Roman" w:cs="Times New Roman"/>
          <w:sz w:val="24"/>
          <w:szCs w:val="24"/>
        </w:rPr>
        <w:t>«Социальная политика</w:t>
      </w:r>
      <w:r w:rsidR="00C775E0">
        <w:rPr>
          <w:rFonts w:ascii="Times New Roman" w:hAnsi="Times New Roman" w:cs="Times New Roman"/>
          <w:sz w:val="24"/>
          <w:szCs w:val="24"/>
        </w:rPr>
        <w:t xml:space="preserve"> 24%</w:t>
      </w:r>
      <w:r w:rsidR="00C637B2">
        <w:rPr>
          <w:rFonts w:ascii="Times New Roman" w:hAnsi="Times New Roman" w:cs="Times New Roman"/>
          <w:sz w:val="24"/>
          <w:szCs w:val="24"/>
        </w:rPr>
        <w:t>», «Физическая культура и спорт</w:t>
      </w:r>
      <w:r w:rsidR="00C775E0">
        <w:rPr>
          <w:rFonts w:ascii="Times New Roman" w:hAnsi="Times New Roman" w:cs="Times New Roman"/>
          <w:sz w:val="24"/>
          <w:szCs w:val="24"/>
        </w:rPr>
        <w:t xml:space="preserve"> 11%</w:t>
      </w:r>
      <w:r w:rsidR="00C637B2">
        <w:rPr>
          <w:rFonts w:ascii="Times New Roman" w:hAnsi="Times New Roman" w:cs="Times New Roman"/>
          <w:sz w:val="24"/>
          <w:szCs w:val="24"/>
        </w:rPr>
        <w:t>», «</w:t>
      </w:r>
      <w:r w:rsidR="00C775E0">
        <w:rPr>
          <w:rFonts w:ascii="Times New Roman" w:hAnsi="Times New Roman" w:cs="Times New Roman"/>
          <w:sz w:val="24"/>
          <w:szCs w:val="24"/>
        </w:rPr>
        <w:t>Национальная экономка 18%»</w:t>
      </w:r>
      <w:r w:rsidRPr="00AB08BF">
        <w:rPr>
          <w:rFonts w:ascii="Times New Roman" w:hAnsi="Times New Roman" w:cs="Times New Roman"/>
          <w:sz w:val="24"/>
          <w:szCs w:val="24"/>
        </w:rPr>
        <w:t>. Наименьшее значение исполнения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отмечено по разделам </w:t>
      </w:r>
      <w:r w:rsidR="002979CA">
        <w:rPr>
          <w:rFonts w:ascii="Times New Roman" w:hAnsi="Times New Roman" w:cs="Times New Roman"/>
          <w:sz w:val="24"/>
          <w:szCs w:val="24"/>
        </w:rPr>
        <w:t xml:space="preserve">«Национальная безопасность» </w:t>
      </w:r>
      <w:r>
        <w:rPr>
          <w:rFonts w:ascii="Times New Roman" w:hAnsi="Times New Roman" w:cs="Times New Roman"/>
          <w:sz w:val="24"/>
          <w:szCs w:val="24"/>
        </w:rPr>
        <w:t>«Н</w:t>
      </w:r>
      <w:r w:rsidRPr="00AB08BF">
        <w:rPr>
          <w:rFonts w:ascii="Times New Roman" w:hAnsi="Times New Roman" w:cs="Times New Roman"/>
          <w:sz w:val="24"/>
          <w:szCs w:val="24"/>
        </w:rPr>
        <w:t>ациональная экономика» (</w:t>
      </w:r>
      <w:r w:rsidR="002979CA">
        <w:rPr>
          <w:rFonts w:ascii="Times New Roman" w:hAnsi="Times New Roman" w:cs="Times New Roman"/>
          <w:sz w:val="24"/>
          <w:szCs w:val="24"/>
        </w:rPr>
        <w:t>8,2</w:t>
      </w:r>
      <w:r>
        <w:rPr>
          <w:rFonts w:ascii="Times New Roman" w:hAnsi="Times New Roman" w:cs="Times New Roman"/>
          <w:sz w:val="24"/>
          <w:szCs w:val="24"/>
        </w:rPr>
        <w:t>%) и «Ж</w:t>
      </w:r>
      <w:r w:rsidRPr="00AB08BF">
        <w:rPr>
          <w:rFonts w:ascii="Times New Roman" w:hAnsi="Times New Roman" w:cs="Times New Roman"/>
          <w:sz w:val="24"/>
          <w:szCs w:val="24"/>
        </w:rPr>
        <w:t xml:space="preserve">илищно-коммунальное хозяйство» – </w:t>
      </w:r>
      <w:r w:rsidR="00C775E0">
        <w:rPr>
          <w:rFonts w:ascii="Times New Roman" w:hAnsi="Times New Roman" w:cs="Times New Roman"/>
          <w:sz w:val="24"/>
          <w:szCs w:val="24"/>
        </w:rPr>
        <w:t>5</w:t>
      </w:r>
      <w:r w:rsidR="002979C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CA">
        <w:rPr>
          <w:rFonts w:ascii="Times New Roman" w:hAnsi="Times New Roman" w:cs="Times New Roman"/>
          <w:sz w:val="24"/>
          <w:szCs w:val="24"/>
        </w:rPr>
        <w:t>Таблица 5</w:t>
      </w:r>
      <w:r>
        <w:rPr>
          <w:rFonts w:ascii="Times New Roman" w:hAnsi="Times New Roman" w:cs="Times New Roman"/>
          <w:sz w:val="24"/>
          <w:szCs w:val="24"/>
        </w:rPr>
        <w:t>. Сравнение фактических показателей исполнения бюджета в 1 квартале 202</w:t>
      </w:r>
      <w:r w:rsidR="00C637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аналогичными показателями 2019 и 202</w:t>
      </w:r>
      <w:r w:rsidR="00C637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W w:w="9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840"/>
        <w:gridCol w:w="1134"/>
        <w:gridCol w:w="1134"/>
        <w:gridCol w:w="992"/>
        <w:gridCol w:w="992"/>
        <w:gridCol w:w="1132"/>
      </w:tblGrid>
      <w:tr w:rsidR="00E12AB2" w:rsidRPr="00F806D2" w:rsidTr="001044B9">
        <w:trPr>
          <w:trHeight w:val="20"/>
        </w:trPr>
        <w:tc>
          <w:tcPr>
            <w:tcW w:w="384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60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 xml:space="preserve">Кассовое исполнение </w:t>
            </w:r>
            <w:r w:rsidR="00604A15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Изменение, %</w:t>
            </w:r>
          </w:p>
        </w:tc>
      </w:tr>
      <w:tr w:rsidR="00740CA7" w:rsidRPr="00F806D2" w:rsidTr="001044B9">
        <w:trPr>
          <w:trHeight w:val="20"/>
        </w:trPr>
        <w:tc>
          <w:tcPr>
            <w:tcW w:w="3840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0CA7" w:rsidRPr="00F806D2" w:rsidRDefault="00740CA7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40CA7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1 кв. 2020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40CA7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1 кв. 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40CA7" w:rsidP="00740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1 кв. 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40CA7" w:rsidP="00740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F806D2" w:rsidRDefault="00740CA7" w:rsidP="00740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740CA7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0CA7" w:rsidRPr="00F806D2" w:rsidRDefault="00740CA7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 xml:space="preserve"> ОБЩЕГОСУДАРСТВЕННЫЕ ВОПРОСЫ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740CA7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12,48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740CA7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133,0</w:t>
            </w:r>
            <w:r w:rsidR="00740CA7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156,5</w:t>
            </w:r>
            <w:r w:rsidR="00740CA7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F87340" w:rsidP="00F87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137D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F806D2" w:rsidRDefault="00F5137D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40CA7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710CCA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Default="00F87340" w:rsidP="00F87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290E6C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87340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7340" w:rsidRPr="00F806D2" w:rsidRDefault="00F87340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720B3D" w:rsidRDefault="00F87340" w:rsidP="00A15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145,8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288,7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87340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7340" w:rsidRPr="00F806D2" w:rsidRDefault="00F87340" w:rsidP="001044B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720B3D" w:rsidRDefault="00F87340" w:rsidP="00A15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162,0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87340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7340" w:rsidRPr="00720B3D" w:rsidRDefault="00F87340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Default="00F87340" w:rsidP="0004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Default="00F87340" w:rsidP="0004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Default="00F87340" w:rsidP="00A15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720B3D" w:rsidRDefault="00F87340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7340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7340" w:rsidRPr="00F806D2" w:rsidRDefault="00F87340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65,74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63,06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720B3D" w:rsidRDefault="00F87340" w:rsidP="00A15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77,27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122,5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117,5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87340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7340" w:rsidRPr="00F806D2" w:rsidRDefault="00F87340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720B3D" w:rsidRDefault="00F87340" w:rsidP="00A15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82,5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82,5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87340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7340" w:rsidRPr="00F806D2" w:rsidRDefault="00F87340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720B3D" w:rsidRDefault="00F87340" w:rsidP="00A15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75,5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54,0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87340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7340" w:rsidRPr="00F806D2" w:rsidRDefault="00F87340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720B3D" w:rsidRDefault="00F87340" w:rsidP="00A15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F87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35,5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78,6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87340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87340" w:rsidRPr="00F806D2" w:rsidRDefault="00F87340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720B3D" w:rsidRDefault="00F87340" w:rsidP="00A154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340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15,0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7340" w:rsidRPr="00EB1142" w:rsidRDefault="00F87340" w:rsidP="00F87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106,5</w:t>
            </w:r>
            <w:r w:rsidR="008A069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40CA7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0CA7" w:rsidRPr="00720B3D" w:rsidRDefault="00740CA7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720B3D" w:rsidRDefault="00740CA7" w:rsidP="0004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Default="00740CA7" w:rsidP="00040F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Default="00F87340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0CA7" w:rsidRPr="00720B3D" w:rsidRDefault="008A0694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740CA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Default="008A0694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740CA7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740CA7" w:rsidRPr="00EB114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0CA7" w:rsidRPr="00EB1142" w:rsidRDefault="00740CA7" w:rsidP="001044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14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740CA7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103,48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740CA7" w:rsidP="0004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103,69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114,57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740CA7" w:rsidP="00F87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B1142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F87340">
              <w:rPr>
                <w:rFonts w:ascii="Times New Roman" w:hAnsi="Times New Roman" w:cs="Times New Roman"/>
                <w:b/>
                <w:color w:val="000000"/>
              </w:rPr>
              <w:t>10,5</w:t>
            </w:r>
            <w:r w:rsidRPr="00EB11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0CA7" w:rsidRPr="00EB1142" w:rsidRDefault="00F87340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110,7</w:t>
            </w:r>
            <w:r w:rsidR="00740CA7" w:rsidRPr="00EB11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E8">
        <w:rPr>
          <w:rFonts w:ascii="Times New Roman" w:hAnsi="Times New Roman" w:cs="Times New Roman"/>
          <w:sz w:val="24"/>
          <w:szCs w:val="24"/>
        </w:rPr>
        <w:t>В 1 квартале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</w:t>
      </w:r>
      <w:r w:rsidR="00E303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разделам «</w:t>
      </w:r>
      <w:r w:rsidR="007B6D55">
        <w:rPr>
          <w:rFonts w:ascii="Times New Roman" w:hAnsi="Times New Roman" w:cs="Times New Roman"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8A0694">
        <w:rPr>
          <w:rFonts w:ascii="Times New Roman" w:hAnsi="Times New Roman" w:cs="Times New Roman"/>
          <w:sz w:val="24"/>
          <w:szCs w:val="24"/>
        </w:rPr>
        <w:t>24,5</w:t>
      </w:r>
      <w:r>
        <w:rPr>
          <w:rFonts w:ascii="Times New Roman" w:hAnsi="Times New Roman" w:cs="Times New Roman"/>
          <w:sz w:val="24"/>
          <w:szCs w:val="24"/>
        </w:rPr>
        <w:t>%), «</w:t>
      </w:r>
      <w:r w:rsidR="008A0694">
        <w:rPr>
          <w:rFonts w:ascii="Times New Roman" w:hAnsi="Times New Roman" w:cs="Times New Roman"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8A0694">
        <w:rPr>
          <w:rFonts w:ascii="Times New Roman" w:hAnsi="Times New Roman" w:cs="Times New Roman"/>
          <w:sz w:val="24"/>
          <w:szCs w:val="24"/>
        </w:rPr>
        <w:t>64,5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7B6D55">
        <w:rPr>
          <w:rFonts w:ascii="Times New Roman" w:hAnsi="Times New Roman" w:cs="Times New Roman"/>
          <w:sz w:val="24"/>
          <w:szCs w:val="24"/>
        </w:rPr>
        <w:t>,</w:t>
      </w:r>
      <w:r w:rsidR="008F6CA0">
        <w:rPr>
          <w:rFonts w:ascii="Times New Roman" w:hAnsi="Times New Roman" w:cs="Times New Roman"/>
          <w:sz w:val="24"/>
          <w:szCs w:val="24"/>
        </w:rPr>
        <w:t xml:space="preserve"> «</w:t>
      </w:r>
      <w:r w:rsidR="007B6D55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деятельность», «Национальная оборона» и «Охрана окружающей среды</w:t>
      </w:r>
      <w:r w:rsidR="008F6CA0">
        <w:rPr>
          <w:rFonts w:ascii="Times New Roman" w:hAnsi="Times New Roman" w:cs="Times New Roman"/>
          <w:sz w:val="24"/>
          <w:szCs w:val="24"/>
        </w:rPr>
        <w:t>» задействованы на 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A68E8">
        <w:rPr>
          <w:rFonts w:ascii="Times New Roman" w:hAnsi="Times New Roman" w:cs="Times New Roman"/>
          <w:sz w:val="24"/>
          <w:szCs w:val="24"/>
        </w:rPr>
        <w:t xml:space="preserve">Рост отмечен по </w:t>
      </w:r>
      <w:r>
        <w:rPr>
          <w:rFonts w:ascii="Times New Roman" w:hAnsi="Times New Roman" w:cs="Times New Roman"/>
          <w:sz w:val="24"/>
          <w:szCs w:val="24"/>
        </w:rPr>
        <w:t xml:space="preserve">остальным разделам. 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</w:t>
      </w:r>
      <w:r w:rsidR="001A57D6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A57D6"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 xml:space="preserve">%, что является </w:t>
      </w:r>
      <w:r w:rsidR="001A57D6">
        <w:rPr>
          <w:rFonts w:ascii="Times New Roman" w:hAnsi="Times New Roman" w:cs="Times New Roman"/>
          <w:sz w:val="24"/>
          <w:szCs w:val="24"/>
        </w:rPr>
        <w:t xml:space="preserve">отрицательным </w:t>
      </w:r>
      <w:r>
        <w:rPr>
          <w:rFonts w:ascii="Times New Roman" w:hAnsi="Times New Roman" w:cs="Times New Roman"/>
          <w:sz w:val="24"/>
          <w:szCs w:val="24"/>
        </w:rPr>
        <w:t>фактором.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Таблица 6</w:t>
      </w:r>
      <w:r w:rsidRPr="00752E30">
        <w:rPr>
          <w:rFonts w:ascii="Times New Roman" w:hAnsi="Times New Roman" w:cs="Times New Roman"/>
          <w:sz w:val="24"/>
          <w:szCs w:val="24"/>
        </w:rPr>
        <w:t>. Исполнение расходов бюджета в разрезе муниципальных программ.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1276"/>
        <w:gridCol w:w="1276"/>
        <w:gridCol w:w="1275"/>
        <w:gridCol w:w="993"/>
      </w:tblGrid>
      <w:tr w:rsidR="00E12AB2" w:rsidRPr="000F274F" w:rsidTr="001044B9">
        <w:trPr>
          <w:trHeight w:val="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муниципальной программы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план, </w:t>
            </w:r>
            <w:r w:rsidR="008F6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9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9674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202</w:t>
            </w:r>
            <w:r w:rsidR="009674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AB2" w:rsidRPr="000F274F" w:rsidRDefault="008F6C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CC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образования и воспитание"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77,43</w:t>
            </w:r>
          </w:p>
        </w:tc>
        <w:tc>
          <w:tcPr>
            <w:tcW w:w="1275" w:type="dxa"/>
            <w:vAlign w:val="center"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C1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A154B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123,8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26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6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здорового образа жизни населения"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1275" w:type="dxa"/>
            <w:vAlign w:val="center"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A154B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культуры"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  <w:tc>
          <w:tcPr>
            <w:tcW w:w="1275" w:type="dxa"/>
            <w:vAlign w:val="center"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A154B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9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"Социальная поддержка населения"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96743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1275" w:type="dxa"/>
            <w:vAlign w:val="center"/>
          </w:tcPr>
          <w:p w:rsidR="00E12AB2" w:rsidRPr="000F274F" w:rsidRDefault="00193C60" w:rsidP="009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674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A154B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67439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967439" w:rsidRPr="000F274F" w:rsidRDefault="00967439" w:rsidP="0096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«Создание условий для устойчивого экономического развития»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7439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67439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967439" w:rsidRDefault="00ED5E7D" w:rsidP="0096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9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67439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9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193C60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1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69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2AB2" w:rsidRPr="000F274F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9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9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193C60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"Муниципальное хозяйство"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69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69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5,23</w:t>
            </w:r>
          </w:p>
        </w:tc>
        <w:tc>
          <w:tcPr>
            <w:tcW w:w="1275" w:type="dxa"/>
            <w:vAlign w:val="center"/>
          </w:tcPr>
          <w:p w:rsidR="00E12AB2" w:rsidRPr="000F274F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A154B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174,3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"Энергосбережение и повышение энергетической эффективности"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1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607C6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"Муниципальное управление"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16,10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ED5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5E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266BF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A5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муниципальными финансами</w:t>
            </w:r>
            <w:r w:rsid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1275" w:type="dxa"/>
            <w:vAlign w:val="center"/>
          </w:tcPr>
          <w:p w:rsidR="00E12AB2" w:rsidRPr="000F274F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266BF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сельского хозяйства и расширение рынка сельскохозяйственной продукции"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D5E7D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B93FA0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B93FA0" w:rsidRPr="00A56DE8" w:rsidRDefault="00B93FA0" w:rsidP="00B9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«Комплексные меры противодействия немедицинскому потреблению наркотических средств и их незаконному обороту»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3FA0" w:rsidRDefault="00B93F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3FA0" w:rsidRDefault="00B93F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B93FA0" w:rsidRDefault="00B93F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93FA0" w:rsidRDefault="00B93F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B93FA0" w:rsidP="00B9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"Реализация молодежной политики</w:t>
            </w:r>
            <w:r w:rsidR="00A56DE8"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B9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="00B9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B9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B9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B9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266BF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</w:t>
            </w:r>
            <w:r w:rsidR="00787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B93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B9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 муниципального образования Каракулинское</w:t>
            </w: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B93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B93F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B93F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23,73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B93F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3,50</w:t>
            </w:r>
          </w:p>
        </w:tc>
        <w:tc>
          <w:tcPr>
            <w:tcW w:w="1275" w:type="dxa"/>
            <w:vAlign w:val="center"/>
          </w:tcPr>
          <w:p w:rsidR="00E12AB2" w:rsidRPr="000F274F" w:rsidRDefault="00B93F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15</w:t>
            </w:r>
            <w:r w:rsidR="00A56D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266BF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473,0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2AB2" w:rsidRPr="000F274F" w:rsidRDefault="00ED5E7D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549,82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2AB2" w:rsidRPr="000F274F" w:rsidRDefault="00ED5E7D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114,57</w:t>
            </w:r>
          </w:p>
        </w:tc>
        <w:tc>
          <w:tcPr>
            <w:tcW w:w="1275" w:type="dxa"/>
            <w:vAlign w:val="center"/>
          </w:tcPr>
          <w:p w:rsidR="00E12AB2" w:rsidRPr="000F274F" w:rsidRDefault="00ED5E7D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2AB2" w:rsidRPr="000F274F" w:rsidRDefault="00266BF0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110,4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E12AB2" w:rsidRPr="00607C6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Более 25% исполнение составило по </w:t>
      </w:r>
      <w:r w:rsidR="0026738F" w:rsidRPr="00607C63">
        <w:rPr>
          <w:rFonts w:ascii="Times New Roman" w:hAnsi="Times New Roman" w:cs="Times New Roman"/>
          <w:sz w:val="24"/>
          <w:szCs w:val="24"/>
        </w:rPr>
        <w:t>двум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программам: МП </w:t>
      </w:r>
      <w:r w:rsidRPr="00266BF0">
        <w:rPr>
          <w:rFonts w:ascii="Times New Roman" w:hAnsi="Times New Roman" w:cs="Times New Roman"/>
          <w:sz w:val="24"/>
          <w:szCs w:val="24"/>
        </w:rPr>
        <w:t>«</w:t>
      </w:r>
      <w:r w:rsidR="00266BF0" w:rsidRP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 и воспитание</w:t>
      </w:r>
      <w:r w:rsidR="000C78E7" w:rsidRP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6BF0" w:rsidRPr="00266BF0">
        <w:rPr>
          <w:rFonts w:ascii="Times New Roman" w:hAnsi="Times New Roman" w:cs="Times New Roman"/>
          <w:sz w:val="24"/>
          <w:szCs w:val="24"/>
        </w:rPr>
        <w:t xml:space="preserve"> </w:t>
      </w:r>
      <w:r w:rsidR="00266BF0" w:rsidRPr="00607C63">
        <w:rPr>
          <w:rFonts w:ascii="Times New Roman" w:hAnsi="Times New Roman" w:cs="Times New Roman"/>
          <w:sz w:val="24"/>
          <w:szCs w:val="24"/>
        </w:rPr>
        <w:t>(2</w:t>
      </w:r>
      <w:r w:rsidR="00266BF0">
        <w:rPr>
          <w:rFonts w:ascii="Times New Roman" w:hAnsi="Times New Roman" w:cs="Times New Roman"/>
          <w:sz w:val="24"/>
          <w:szCs w:val="24"/>
        </w:rPr>
        <w:t>8</w:t>
      </w:r>
      <w:r w:rsidR="00266BF0" w:rsidRPr="00607C63">
        <w:rPr>
          <w:rFonts w:ascii="Times New Roman" w:hAnsi="Times New Roman" w:cs="Times New Roman"/>
          <w:sz w:val="24"/>
          <w:szCs w:val="24"/>
        </w:rPr>
        <w:t>,0%).</w:t>
      </w:r>
      <w:r w:rsidRPr="00607C63">
        <w:rPr>
          <w:rFonts w:ascii="Times New Roman" w:hAnsi="Times New Roman" w:cs="Times New Roman"/>
          <w:sz w:val="24"/>
          <w:szCs w:val="24"/>
        </w:rPr>
        <w:t>, МП «Социальная поддержка населения» (2</w:t>
      </w:r>
      <w:r w:rsidR="00266BF0">
        <w:rPr>
          <w:rFonts w:ascii="Times New Roman" w:hAnsi="Times New Roman" w:cs="Times New Roman"/>
          <w:sz w:val="24"/>
          <w:szCs w:val="24"/>
        </w:rPr>
        <w:t>6</w:t>
      </w:r>
      <w:r w:rsidRPr="00607C63">
        <w:rPr>
          <w:rFonts w:ascii="Times New Roman" w:hAnsi="Times New Roman" w:cs="Times New Roman"/>
          <w:sz w:val="24"/>
          <w:szCs w:val="24"/>
        </w:rPr>
        <w:t>,</w:t>
      </w:r>
      <w:r w:rsidR="00655CF2" w:rsidRPr="00607C63">
        <w:rPr>
          <w:rFonts w:ascii="Times New Roman" w:hAnsi="Times New Roman" w:cs="Times New Roman"/>
          <w:sz w:val="24"/>
          <w:szCs w:val="24"/>
        </w:rPr>
        <w:t>0</w:t>
      </w:r>
      <w:r w:rsidRPr="00607C63">
        <w:rPr>
          <w:rFonts w:ascii="Times New Roman" w:hAnsi="Times New Roman" w:cs="Times New Roman"/>
          <w:sz w:val="24"/>
          <w:szCs w:val="24"/>
        </w:rPr>
        <w:t>%)</w:t>
      </w:r>
      <w:r w:rsidR="000C78E7" w:rsidRPr="00607C63">
        <w:rPr>
          <w:rFonts w:ascii="Times New Roman" w:hAnsi="Times New Roman" w:cs="Times New Roman"/>
          <w:sz w:val="24"/>
          <w:szCs w:val="24"/>
        </w:rPr>
        <w:t>. Ближе к 25%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исполнение составило по </w:t>
      </w:r>
      <w:r w:rsidRPr="00607C63">
        <w:rPr>
          <w:rFonts w:ascii="Times New Roman" w:hAnsi="Times New Roman" w:cs="Times New Roman"/>
          <w:sz w:val="24"/>
          <w:szCs w:val="24"/>
        </w:rPr>
        <w:t>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 муниципальными финансами»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(</w:t>
      </w:r>
      <w:r w:rsidR="00A918A1">
        <w:rPr>
          <w:rFonts w:ascii="Times New Roman" w:hAnsi="Times New Roman" w:cs="Times New Roman"/>
          <w:sz w:val="24"/>
          <w:szCs w:val="24"/>
        </w:rPr>
        <w:t>19</w:t>
      </w:r>
      <w:r w:rsidR="000C78E7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>%)</w:t>
      </w:r>
      <w:r w:rsidR="00A918A1">
        <w:rPr>
          <w:rFonts w:ascii="Times New Roman" w:hAnsi="Times New Roman" w:cs="Times New Roman"/>
          <w:sz w:val="24"/>
          <w:szCs w:val="24"/>
        </w:rPr>
        <w:t xml:space="preserve">, МП </w:t>
      </w:r>
      <w:r w:rsidR="00A918A1" w:rsidRP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"Муниципальное управление"</w:t>
      </w:r>
      <w:r w:rsidR="00A918A1" w:rsidRPr="00607C63">
        <w:rPr>
          <w:rFonts w:ascii="Times New Roman" w:hAnsi="Times New Roman" w:cs="Times New Roman"/>
          <w:sz w:val="24"/>
          <w:szCs w:val="24"/>
        </w:rPr>
        <w:t>(</w:t>
      </w:r>
      <w:r w:rsidR="00A918A1">
        <w:rPr>
          <w:rFonts w:ascii="Times New Roman" w:hAnsi="Times New Roman" w:cs="Times New Roman"/>
          <w:sz w:val="24"/>
          <w:szCs w:val="24"/>
        </w:rPr>
        <w:t>19</w:t>
      </w:r>
      <w:r w:rsidR="00A918A1" w:rsidRPr="00607C63">
        <w:rPr>
          <w:rFonts w:ascii="Times New Roman" w:hAnsi="Times New Roman" w:cs="Times New Roman"/>
          <w:sz w:val="24"/>
          <w:szCs w:val="24"/>
        </w:rPr>
        <w:t>,0%)</w:t>
      </w:r>
      <w:r w:rsidRPr="00607C63">
        <w:rPr>
          <w:rFonts w:ascii="Times New Roman" w:hAnsi="Times New Roman" w:cs="Times New Roman"/>
          <w:sz w:val="24"/>
          <w:szCs w:val="24"/>
        </w:rPr>
        <w:t>. Исполнение по всем остальным муниципальным программам в 1 квартале 202</w:t>
      </w:r>
      <w:r w:rsidR="00BA0760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года составило менее ¼ годовых назначений. По МП «Энергосбережение и повышение энергетической эффективности» и 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сельских территорий</w:t>
      </w:r>
      <w:r w:rsidRPr="00607C63">
        <w:rPr>
          <w:rFonts w:ascii="Times New Roman" w:hAnsi="Times New Roman" w:cs="Times New Roman"/>
          <w:sz w:val="24"/>
          <w:szCs w:val="24"/>
        </w:rPr>
        <w:t>»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, </w:t>
      </w:r>
      <w:r w:rsidR="00266BF0">
        <w:rPr>
          <w:rFonts w:ascii="Times New Roman" w:hAnsi="Times New Roman" w:cs="Times New Roman"/>
          <w:sz w:val="24"/>
          <w:szCs w:val="24"/>
        </w:rPr>
        <w:t>МП</w:t>
      </w:r>
      <w:r w:rsidR="00A918A1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>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продукции»</w:t>
      </w:r>
      <w:r w:rsid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A918A1">
        <w:rPr>
          <w:rFonts w:ascii="Times New Roman" w:hAnsi="Times New Roman" w:cs="Times New Roman"/>
          <w:sz w:val="24"/>
          <w:szCs w:val="24"/>
        </w:rPr>
        <w:t xml:space="preserve">МП </w:t>
      </w:r>
      <w:r w:rsidR="00266BF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266BF0" w:rsidRP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Комплексные меры противодействия немедицинскому потреблению наркотических средств и их незаконному обороту»</w:t>
      </w:r>
      <w:r w:rsid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МП</w:t>
      </w:r>
      <w:r w:rsidR="00266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66BF0" w:rsidRP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 муниципального образования Каракулинское</w:t>
      </w:r>
      <w:r w:rsidR="00A9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МП «Безопасность» </w:t>
      </w:r>
      <w:r w:rsidRPr="00607C63">
        <w:rPr>
          <w:rFonts w:ascii="Times New Roman" w:hAnsi="Times New Roman" w:cs="Times New Roman"/>
          <w:sz w:val="24"/>
          <w:szCs w:val="24"/>
        </w:rPr>
        <w:t>исполнение по итогам 1 квартала 202</w:t>
      </w:r>
      <w:r w:rsidR="00BA0760">
        <w:rPr>
          <w:rFonts w:ascii="Times New Roman" w:hAnsi="Times New Roman" w:cs="Times New Roman"/>
          <w:sz w:val="24"/>
          <w:szCs w:val="24"/>
        </w:rPr>
        <w:t>2</w:t>
      </w:r>
      <w:r w:rsidRPr="00607C63">
        <w:rPr>
          <w:rFonts w:ascii="Times New Roman" w:hAnsi="Times New Roman" w:cs="Times New Roman"/>
          <w:sz w:val="24"/>
          <w:szCs w:val="24"/>
        </w:rPr>
        <w:t xml:space="preserve"> года равн</w:t>
      </w:r>
      <w:r w:rsidR="00A918A1">
        <w:rPr>
          <w:rFonts w:ascii="Times New Roman" w:hAnsi="Times New Roman" w:cs="Times New Roman"/>
          <w:sz w:val="24"/>
          <w:szCs w:val="24"/>
        </w:rPr>
        <w:t>ы</w:t>
      </w:r>
      <w:r w:rsidRPr="00607C63"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C51B21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Рост исполнения в 1 квартале относительно аналогичного периода прошлого года отмечен по </w:t>
      </w:r>
      <w:r w:rsidR="00A918A1">
        <w:rPr>
          <w:rFonts w:ascii="Times New Roman" w:hAnsi="Times New Roman" w:cs="Times New Roman"/>
          <w:sz w:val="24"/>
          <w:szCs w:val="24"/>
        </w:rPr>
        <w:t>пяти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программам. Наибольшие показатели роста отмечены</w:t>
      </w:r>
      <w:r>
        <w:rPr>
          <w:rFonts w:ascii="Times New Roman" w:hAnsi="Times New Roman" w:cs="Times New Roman"/>
          <w:sz w:val="24"/>
          <w:szCs w:val="24"/>
        </w:rPr>
        <w:t xml:space="preserve">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2A03">
        <w:rPr>
          <w:rFonts w:ascii="Times New Roman" w:hAnsi="Times New Roman" w:cs="Times New Roman"/>
          <w:sz w:val="24"/>
          <w:szCs w:val="24"/>
        </w:rPr>
        <w:t xml:space="preserve"> (на 74,3%),</w:t>
      </w:r>
      <w:r>
        <w:rPr>
          <w:rFonts w:ascii="Times New Roman" w:hAnsi="Times New Roman" w:cs="Times New Roman"/>
          <w:sz w:val="24"/>
          <w:szCs w:val="24"/>
        </w:rPr>
        <w:t>. Значительный рост отмечен также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607C63">
        <w:rPr>
          <w:rFonts w:ascii="Times New Roman" w:hAnsi="Times New Roman" w:cs="Times New Roman"/>
          <w:sz w:val="24"/>
          <w:szCs w:val="24"/>
        </w:rPr>
        <w:t>2</w:t>
      </w:r>
      <w:r w:rsidR="00452A03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 и воспитание</w:t>
      </w:r>
      <w:r w:rsid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452A03">
        <w:rPr>
          <w:rFonts w:ascii="Times New Roman" w:hAnsi="Times New Roman" w:cs="Times New Roman"/>
          <w:sz w:val="24"/>
          <w:szCs w:val="24"/>
        </w:rPr>
        <w:t>23,8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452A03"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населения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452A03">
        <w:rPr>
          <w:rFonts w:ascii="Times New Roman" w:hAnsi="Times New Roman" w:cs="Times New Roman"/>
          <w:sz w:val="24"/>
          <w:szCs w:val="24"/>
        </w:rPr>
        <w:t>37,5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452A03" w:rsidRPr="00452A03">
        <w:rPr>
          <w:rFonts w:ascii="Times New Roman" w:hAnsi="Times New Roman" w:cs="Times New Roman"/>
          <w:sz w:val="24"/>
          <w:szCs w:val="24"/>
        </w:rPr>
        <w:t>в</w:t>
      </w:r>
      <w:r w:rsidR="00452A03" w:rsidRPr="0045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непрограммные направления деятельности</w:t>
      </w:r>
      <w:r w:rsidR="00452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452A03">
        <w:rPr>
          <w:rFonts w:ascii="Times New Roman" w:hAnsi="Times New Roman" w:cs="Times New Roman"/>
          <w:sz w:val="24"/>
          <w:szCs w:val="24"/>
        </w:rPr>
        <w:t>373</w:t>
      </w:r>
      <w:r w:rsidR="00C51B2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C51B21" w:rsidRDefault="00C51B21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относительно аналогичного периода прошлого года отмечено по </w:t>
      </w:r>
      <w:r w:rsidR="00556F87">
        <w:rPr>
          <w:rFonts w:ascii="Times New Roman" w:hAnsi="Times New Roman" w:cs="Times New Roman"/>
          <w:sz w:val="24"/>
          <w:szCs w:val="24"/>
        </w:rPr>
        <w:t>четырем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программам: </w:t>
      </w:r>
      <w:r w:rsidR="00E12AB2">
        <w:rPr>
          <w:rFonts w:ascii="Times New Roman" w:hAnsi="Times New Roman" w:cs="Times New Roman"/>
          <w:sz w:val="24"/>
          <w:szCs w:val="24"/>
        </w:rPr>
        <w:t xml:space="preserve">Отмечен также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="00E12AB2">
        <w:rPr>
          <w:rFonts w:ascii="Times New Roman" w:hAnsi="Times New Roman" w:cs="Times New Roman"/>
          <w:sz w:val="24"/>
          <w:szCs w:val="24"/>
        </w:rPr>
        <w:t xml:space="preserve"> по МП «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</w:t>
      </w:r>
      <w:r w:rsidR="00E12AB2">
        <w:rPr>
          <w:rFonts w:ascii="Times New Roman" w:hAnsi="Times New Roman" w:cs="Times New Roman"/>
          <w:sz w:val="24"/>
          <w:szCs w:val="24"/>
        </w:rPr>
        <w:t xml:space="preserve">» (на </w:t>
      </w:r>
      <w:r w:rsidR="00556F87">
        <w:rPr>
          <w:rFonts w:ascii="Times New Roman" w:hAnsi="Times New Roman" w:cs="Times New Roman"/>
          <w:sz w:val="24"/>
          <w:szCs w:val="24"/>
        </w:rPr>
        <w:t>17,5</w:t>
      </w:r>
      <w:r w:rsidR="00E12AB2">
        <w:rPr>
          <w:rFonts w:ascii="Times New Roman" w:hAnsi="Times New Roman" w:cs="Times New Roman"/>
          <w:sz w:val="24"/>
          <w:szCs w:val="24"/>
        </w:rPr>
        <w:t>%), по МП «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молодежной политики</w:t>
      </w:r>
      <w:r w:rsidR="00E12AB2" w:rsidRPr="00C51B21">
        <w:rPr>
          <w:rFonts w:ascii="Times New Roman" w:hAnsi="Times New Roman" w:cs="Times New Roman"/>
          <w:sz w:val="24"/>
          <w:szCs w:val="24"/>
        </w:rPr>
        <w:t>»</w:t>
      </w:r>
      <w:r w:rsidR="00E12AB2">
        <w:rPr>
          <w:rFonts w:ascii="Times New Roman" w:hAnsi="Times New Roman" w:cs="Times New Roman"/>
          <w:sz w:val="24"/>
          <w:szCs w:val="24"/>
        </w:rPr>
        <w:t xml:space="preserve"> (на </w:t>
      </w:r>
      <w:r w:rsidR="00556F87">
        <w:rPr>
          <w:rFonts w:ascii="Times New Roman" w:hAnsi="Times New Roman" w:cs="Times New Roman"/>
          <w:sz w:val="24"/>
          <w:szCs w:val="24"/>
        </w:rPr>
        <w:t>11,1</w:t>
      </w:r>
      <w:r w:rsidR="00E12AB2">
        <w:rPr>
          <w:rFonts w:ascii="Times New Roman" w:hAnsi="Times New Roman" w:cs="Times New Roman"/>
          <w:sz w:val="24"/>
          <w:szCs w:val="24"/>
        </w:rPr>
        <w:t>%), по МП «</w:t>
      </w:r>
      <w:r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поддержка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51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2AB2">
        <w:rPr>
          <w:rFonts w:ascii="Times New Roman" w:hAnsi="Times New Roman" w:cs="Times New Roman"/>
          <w:sz w:val="24"/>
          <w:szCs w:val="24"/>
        </w:rPr>
        <w:t xml:space="preserve">(на </w:t>
      </w:r>
      <w:r w:rsidR="00556F87">
        <w:rPr>
          <w:rFonts w:ascii="Times New Roman" w:hAnsi="Times New Roman" w:cs="Times New Roman"/>
          <w:sz w:val="24"/>
          <w:szCs w:val="24"/>
        </w:rPr>
        <w:t>56,5</w:t>
      </w:r>
      <w:r w:rsidR="00E12AB2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2AB2">
        <w:rPr>
          <w:rFonts w:ascii="Times New Roman" w:hAnsi="Times New Roman" w:cs="Times New Roman"/>
          <w:sz w:val="24"/>
          <w:szCs w:val="24"/>
        </w:rPr>
        <w:t>.</w:t>
      </w:r>
      <w:r w:rsidRPr="00C5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МП «</w:t>
      </w:r>
      <w:r w:rsidR="00556F87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1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556F87">
        <w:rPr>
          <w:rFonts w:ascii="Times New Roman" w:hAnsi="Times New Roman" w:cs="Times New Roman"/>
          <w:sz w:val="24"/>
          <w:szCs w:val="24"/>
        </w:rPr>
        <w:t>87,5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8E4377">
        <w:rPr>
          <w:rFonts w:ascii="Times New Roman" w:hAnsi="Times New Roman" w:cs="Times New Roman"/>
          <w:sz w:val="24"/>
          <w:szCs w:val="24"/>
        </w:rPr>
        <w:t>.</w:t>
      </w:r>
    </w:p>
    <w:p w:rsidR="00556F87" w:rsidRPr="00556F87" w:rsidRDefault="008E4377" w:rsidP="00556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по </w:t>
      </w:r>
      <w:r w:rsidR="00452A03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программам относительно аналогичного периода прошлого года исполнение по итогам за 1 квартал 202</w:t>
      </w:r>
      <w:r w:rsidR="00BA07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равны нулю, по МП</w:t>
      </w:r>
      <w:r w:rsidRPr="008E4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и повышение энергетической эффективности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</w:t>
      </w:r>
      <w:r>
        <w:rPr>
          <w:rFonts w:ascii="Times New Roman" w:hAnsi="Times New Roman" w:cs="Times New Roman"/>
          <w:sz w:val="24"/>
          <w:szCs w:val="24"/>
        </w:rPr>
        <w:t>МП «</w:t>
      </w:r>
      <w:r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 w:rsidR="00C40358">
        <w:rPr>
          <w:rFonts w:ascii="Times New Roman" w:hAnsi="Times New Roman" w:cs="Times New Roman"/>
          <w:sz w:val="24"/>
          <w:szCs w:val="24"/>
        </w:rPr>
        <w:t xml:space="preserve">МП </w:t>
      </w:r>
      <w:r w:rsidR="00C40358" w:rsidRPr="00556F87">
        <w:rPr>
          <w:rFonts w:ascii="Times New Roman" w:hAnsi="Times New Roman" w:cs="Times New Roman"/>
          <w:sz w:val="24"/>
          <w:szCs w:val="24"/>
        </w:rPr>
        <w:t>«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устойчивого экономического развития</w:t>
      </w:r>
      <w:r w:rsidR="00C40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6F87" w:rsidRPr="00556F87">
        <w:rPr>
          <w:rFonts w:ascii="Times New Roman" w:hAnsi="Times New Roman" w:cs="Times New Roman"/>
          <w:sz w:val="24"/>
          <w:szCs w:val="24"/>
        </w:rPr>
        <w:t xml:space="preserve"> </w:t>
      </w:r>
      <w:r w:rsidR="00556F87">
        <w:rPr>
          <w:rFonts w:ascii="Times New Roman" w:hAnsi="Times New Roman" w:cs="Times New Roman"/>
          <w:sz w:val="24"/>
          <w:szCs w:val="24"/>
        </w:rPr>
        <w:t>МП «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Безопасность»,</w:t>
      </w:r>
      <w:r w:rsidR="00556F87" w:rsidRPr="0055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 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«Комплексные меры противодействия немедицинскому потреблению наркотических средств и их незаконному обороту»</w:t>
      </w:r>
      <w:r w:rsid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МП</w:t>
      </w:r>
      <w:r w:rsidR="00556F87" w:rsidRPr="00556F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56F87" w:rsidRPr="00556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"Формирование современной городской среды муниципального образования Каракулинское"</w:t>
      </w:r>
    </w:p>
    <w:p w:rsidR="00556F87" w:rsidRPr="00556F87" w:rsidRDefault="00556F87" w:rsidP="00556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AB2" w:rsidRPr="0067490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3">
        <w:rPr>
          <w:rFonts w:ascii="Times New Roman" w:hAnsi="Times New Roman" w:cs="Times New Roman"/>
          <w:b/>
          <w:sz w:val="24"/>
          <w:szCs w:val="24"/>
        </w:rPr>
        <w:t>Анализ отчета в части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 решением </w:t>
      </w:r>
      <w:r w:rsidR="00C4035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40CA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740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0CA7">
        <w:rPr>
          <w:rFonts w:ascii="Times New Roman" w:hAnsi="Times New Roman" w:cs="Times New Roman"/>
          <w:sz w:val="24"/>
          <w:szCs w:val="24"/>
        </w:rPr>
        <w:t>6</w:t>
      </w:r>
      <w:r w:rsidR="00C40358">
        <w:rPr>
          <w:rFonts w:ascii="Times New Roman" w:hAnsi="Times New Roman" w:cs="Times New Roman"/>
          <w:sz w:val="24"/>
          <w:szCs w:val="24"/>
        </w:rPr>
        <w:t>/</w:t>
      </w:r>
      <w:r w:rsidR="00740CA7">
        <w:rPr>
          <w:rFonts w:ascii="Times New Roman" w:hAnsi="Times New Roman" w:cs="Times New Roman"/>
          <w:sz w:val="24"/>
          <w:szCs w:val="24"/>
        </w:rPr>
        <w:t>12</w:t>
      </w:r>
      <w:r w:rsidR="00C40358">
        <w:rPr>
          <w:rFonts w:ascii="Times New Roman" w:hAnsi="Times New Roman" w:cs="Times New Roman"/>
          <w:sz w:val="24"/>
          <w:szCs w:val="24"/>
        </w:rPr>
        <w:t>-2</w:t>
      </w:r>
      <w:r w:rsidR="00740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в размере </w:t>
      </w:r>
      <w:r w:rsidR="00C40358">
        <w:rPr>
          <w:rFonts w:ascii="Times New Roman" w:hAnsi="Times New Roman" w:cs="Times New Roman"/>
          <w:sz w:val="24"/>
          <w:szCs w:val="24"/>
        </w:rPr>
        <w:t>9938,1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6D6E">
        <w:rPr>
          <w:rFonts w:ascii="Times New Roman" w:hAnsi="Times New Roman" w:cs="Times New Roman"/>
          <w:sz w:val="24"/>
          <w:szCs w:val="24"/>
        </w:rPr>
        <w:t xml:space="preserve">Пунктом 3. Статьи 92.1 БК РФ установлено ограничение: дефицит местного бюджета не должен превышать </w:t>
      </w:r>
      <w:r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1 квартале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сложился </w:t>
      </w:r>
      <w:r w:rsidR="00C40358">
        <w:rPr>
          <w:rFonts w:ascii="Times New Roman" w:hAnsi="Times New Roman" w:cs="Times New Roman"/>
          <w:sz w:val="24"/>
          <w:szCs w:val="24"/>
        </w:rPr>
        <w:t>дифицит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A0760">
        <w:rPr>
          <w:rFonts w:ascii="Times New Roman" w:hAnsi="Times New Roman" w:cs="Times New Roman"/>
          <w:sz w:val="24"/>
          <w:szCs w:val="24"/>
        </w:rPr>
        <w:t>18</w:t>
      </w:r>
      <w:r w:rsidR="001C057B">
        <w:rPr>
          <w:rFonts w:ascii="Times New Roman" w:hAnsi="Times New Roman" w:cs="Times New Roman"/>
          <w:sz w:val="24"/>
          <w:szCs w:val="24"/>
        </w:rPr>
        <w:t xml:space="preserve"> </w:t>
      </w:r>
      <w:r w:rsidR="00BA0760">
        <w:rPr>
          <w:rFonts w:ascii="Times New Roman" w:hAnsi="Times New Roman" w:cs="Times New Roman"/>
          <w:sz w:val="24"/>
          <w:szCs w:val="24"/>
        </w:rPr>
        <w:t>649,4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БК РФ, при исполнении бюджета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rFonts w:ascii="Times New Roman" w:hAnsi="Times New Roman" w:cs="Times New Roman"/>
          <w:sz w:val="24"/>
          <w:szCs w:val="24"/>
        </w:rPr>
        <w:t xml:space="preserve">»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</w:rPr>
        <w:t>1 квартал 202</w:t>
      </w:r>
      <w:r w:rsidR="00740C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Pr="000B2F26">
        <w:rPr>
          <w:rFonts w:ascii="Times New Roman" w:hAnsi="Times New Roman" w:cs="Times New Roman"/>
          <w:sz w:val="24"/>
          <w:szCs w:val="24"/>
        </w:rPr>
        <w:t>.</w:t>
      </w:r>
    </w:p>
    <w:p w:rsidR="00E12AB2" w:rsidRPr="00666D50" w:rsidRDefault="00E12AB2" w:rsidP="00E12AB2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66D50">
        <w:rPr>
          <w:rFonts w:ascii="Times New Roman" w:hAnsi="Times New Roman"/>
          <w:b/>
          <w:sz w:val="24"/>
          <w:szCs w:val="24"/>
        </w:rPr>
        <w:lastRenderedPageBreak/>
        <w:t>Анализ сведений об объеме и структуре внутреннего долга, расходов на погашение и обслуживание муниципального долга</w:t>
      </w:r>
    </w:p>
    <w:p w:rsidR="00E12AB2" w:rsidRPr="0094274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42742">
        <w:rPr>
          <w:sz w:val="24"/>
          <w:szCs w:val="24"/>
        </w:rPr>
        <w:t xml:space="preserve">Согласно ст. 1 </w:t>
      </w:r>
      <w:r w:rsidR="00C40358">
        <w:rPr>
          <w:sz w:val="24"/>
          <w:szCs w:val="24"/>
        </w:rPr>
        <w:t>Совета депутатов 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sz w:val="24"/>
          <w:szCs w:val="24"/>
        </w:rPr>
        <w:t xml:space="preserve"> от </w:t>
      </w:r>
      <w:r w:rsidR="00740CA7">
        <w:rPr>
          <w:sz w:val="24"/>
          <w:szCs w:val="24"/>
        </w:rPr>
        <w:t>22</w:t>
      </w:r>
      <w:r w:rsidR="00C40358">
        <w:rPr>
          <w:sz w:val="24"/>
          <w:szCs w:val="24"/>
        </w:rPr>
        <w:t>.12.202</w:t>
      </w:r>
      <w:r w:rsidR="00740CA7">
        <w:rPr>
          <w:sz w:val="24"/>
          <w:szCs w:val="24"/>
        </w:rPr>
        <w:t>1</w:t>
      </w:r>
      <w:r w:rsidR="00C40358">
        <w:rPr>
          <w:sz w:val="24"/>
          <w:szCs w:val="24"/>
        </w:rPr>
        <w:t xml:space="preserve"> № </w:t>
      </w:r>
      <w:r w:rsidR="00740CA7">
        <w:rPr>
          <w:sz w:val="24"/>
          <w:szCs w:val="24"/>
        </w:rPr>
        <w:t>6</w:t>
      </w:r>
      <w:r w:rsidR="00C40358">
        <w:rPr>
          <w:sz w:val="24"/>
          <w:szCs w:val="24"/>
        </w:rPr>
        <w:t>/</w:t>
      </w:r>
      <w:r w:rsidR="00740CA7">
        <w:rPr>
          <w:sz w:val="24"/>
          <w:szCs w:val="24"/>
        </w:rPr>
        <w:t>12</w:t>
      </w:r>
      <w:r w:rsidR="00C40358">
        <w:rPr>
          <w:sz w:val="24"/>
          <w:szCs w:val="24"/>
        </w:rPr>
        <w:t>-2</w:t>
      </w:r>
      <w:r w:rsidR="00740CA7">
        <w:rPr>
          <w:sz w:val="24"/>
          <w:szCs w:val="24"/>
        </w:rPr>
        <w:t>1</w:t>
      </w:r>
      <w:r w:rsidR="00C40358">
        <w:rPr>
          <w:sz w:val="24"/>
          <w:szCs w:val="24"/>
        </w:rPr>
        <w:t xml:space="preserve"> «О бюджете 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C40358">
        <w:rPr>
          <w:sz w:val="24"/>
          <w:szCs w:val="24"/>
        </w:rPr>
        <w:t>» на 202</w:t>
      </w:r>
      <w:r w:rsidR="00740CA7">
        <w:rPr>
          <w:sz w:val="24"/>
          <w:szCs w:val="24"/>
        </w:rPr>
        <w:t>2</w:t>
      </w:r>
      <w:r w:rsidR="00C40358">
        <w:rPr>
          <w:sz w:val="24"/>
          <w:szCs w:val="24"/>
        </w:rPr>
        <w:t xml:space="preserve"> год и плановый период 202</w:t>
      </w:r>
      <w:r w:rsidR="00740CA7">
        <w:rPr>
          <w:sz w:val="24"/>
          <w:szCs w:val="24"/>
        </w:rPr>
        <w:t>3</w:t>
      </w:r>
      <w:r w:rsidR="00C40358">
        <w:rPr>
          <w:sz w:val="24"/>
          <w:szCs w:val="24"/>
        </w:rPr>
        <w:t xml:space="preserve"> и 202</w:t>
      </w:r>
      <w:r w:rsidR="00740CA7">
        <w:rPr>
          <w:sz w:val="24"/>
          <w:szCs w:val="24"/>
        </w:rPr>
        <w:t>4</w:t>
      </w:r>
      <w:r w:rsidR="00C40358">
        <w:rPr>
          <w:sz w:val="24"/>
          <w:szCs w:val="24"/>
        </w:rPr>
        <w:t xml:space="preserve"> годов» </w:t>
      </w:r>
      <w:r w:rsidRPr="00942742">
        <w:rPr>
          <w:sz w:val="24"/>
          <w:szCs w:val="24"/>
        </w:rPr>
        <w:t>верхний предел муниципального долга по состоянию на 01.01.202</w:t>
      </w:r>
      <w:r>
        <w:rPr>
          <w:sz w:val="24"/>
          <w:szCs w:val="24"/>
        </w:rPr>
        <w:t>2</w:t>
      </w:r>
      <w:r w:rsidRPr="0094274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установлен</w:t>
      </w:r>
      <w:r w:rsidRPr="00942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 </w:t>
      </w:r>
      <w:r w:rsidR="00C40358">
        <w:rPr>
          <w:sz w:val="24"/>
          <w:szCs w:val="24"/>
        </w:rPr>
        <w:t>2</w:t>
      </w:r>
      <w:r w:rsidR="00407991">
        <w:rPr>
          <w:sz w:val="24"/>
          <w:szCs w:val="24"/>
        </w:rPr>
        <w:t>0 104,7</w:t>
      </w:r>
      <w:r w:rsidRPr="00942742">
        <w:rPr>
          <w:sz w:val="24"/>
          <w:szCs w:val="24"/>
        </w:rPr>
        <w:t xml:space="preserve"> тыс. руб.</w:t>
      </w:r>
      <w:r w:rsidR="00407991">
        <w:rPr>
          <w:sz w:val="24"/>
          <w:szCs w:val="24"/>
        </w:rPr>
        <w:t>.</w:t>
      </w:r>
      <w:r w:rsidRPr="00942742">
        <w:rPr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информации из пояснительной записки к отчету об исполнении бюджета </w:t>
      </w:r>
      <w:r w:rsidR="00E575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rFonts w:ascii="Times New Roman" w:hAnsi="Times New Roman" w:cs="Times New Roman"/>
          <w:sz w:val="24"/>
          <w:szCs w:val="24"/>
        </w:rPr>
        <w:t xml:space="preserve">» </w:t>
      </w:r>
      <w:r w:rsidRPr="00CE350C">
        <w:rPr>
          <w:rFonts w:ascii="Times New Roman" w:hAnsi="Times New Roman" w:cs="Times New Roman"/>
          <w:sz w:val="24"/>
          <w:szCs w:val="24"/>
        </w:rPr>
        <w:t>за 1 квартал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CE350C">
        <w:rPr>
          <w:rFonts w:ascii="Times New Roman" w:hAnsi="Times New Roman" w:cs="Times New Roman"/>
          <w:sz w:val="24"/>
          <w:szCs w:val="24"/>
        </w:rPr>
        <w:t xml:space="preserve"> года, объем муниципального долга на 01.04.202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составлял </w:t>
      </w:r>
      <w:r w:rsidR="004B7E02">
        <w:rPr>
          <w:rFonts w:ascii="Times New Roman" w:hAnsi="Times New Roman" w:cs="Times New Roman"/>
          <w:sz w:val="24"/>
          <w:szCs w:val="24"/>
        </w:rPr>
        <w:t>15 768,9</w:t>
      </w:r>
      <w:r w:rsidRPr="00CE350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E12AB2" w:rsidRPr="001B2FCD" w:rsidRDefault="00E12AB2" w:rsidP="00E12AB2">
      <w:pPr>
        <w:pStyle w:val="a7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Предельный объем расходов на облуживание муниципального долга </w:t>
      </w:r>
      <w:r w:rsidR="00E57524">
        <w:rPr>
          <w:sz w:val="24"/>
          <w:szCs w:val="24"/>
        </w:rPr>
        <w:t>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sz w:val="24"/>
          <w:szCs w:val="24"/>
        </w:rPr>
        <w:t xml:space="preserve">» </w:t>
      </w:r>
      <w:r w:rsidRPr="001B2FCD">
        <w:rPr>
          <w:sz w:val="24"/>
          <w:szCs w:val="24"/>
        </w:rPr>
        <w:t>утвержден статьей 8 Решения о бюджете на 20</w:t>
      </w:r>
      <w:r>
        <w:rPr>
          <w:sz w:val="24"/>
          <w:szCs w:val="24"/>
        </w:rPr>
        <w:t>2</w:t>
      </w:r>
      <w:r w:rsidR="00407991">
        <w:rPr>
          <w:sz w:val="24"/>
          <w:szCs w:val="24"/>
        </w:rPr>
        <w:t>2</w:t>
      </w:r>
      <w:r w:rsidRPr="001B2FCD">
        <w:rPr>
          <w:sz w:val="24"/>
          <w:szCs w:val="24"/>
        </w:rPr>
        <w:t xml:space="preserve"> год в сумме </w:t>
      </w:r>
      <w:r w:rsidR="004B7E02">
        <w:rPr>
          <w:sz w:val="24"/>
          <w:szCs w:val="24"/>
        </w:rPr>
        <w:t>1</w:t>
      </w:r>
      <w:r w:rsidR="001C057B">
        <w:rPr>
          <w:sz w:val="24"/>
          <w:szCs w:val="24"/>
        </w:rPr>
        <w:t> 748,3</w:t>
      </w:r>
      <w:r w:rsidRPr="001B2FCD">
        <w:rPr>
          <w:sz w:val="24"/>
          <w:szCs w:val="24"/>
        </w:rPr>
        <w:t xml:space="preserve"> тыс. руб. </w:t>
      </w:r>
    </w:p>
    <w:p w:rsidR="00E12AB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</w:t>
      </w:r>
      <w:r w:rsidR="00E57524">
        <w:rPr>
          <w:sz w:val="24"/>
          <w:szCs w:val="24"/>
        </w:rPr>
        <w:t>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sz w:val="24"/>
          <w:szCs w:val="24"/>
        </w:rPr>
        <w:t xml:space="preserve">» </w:t>
      </w:r>
      <w:r>
        <w:rPr>
          <w:sz w:val="24"/>
          <w:szCs w:val="24"/>
        </w:rPr>
        <w:t>в 1 квартале 202</w:t>
      </w:r>
      <w:r w:rsidR="00740CA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бюджета долга» составили </w:t>
      </w:r>
      <w:r w:rsidR="00BF422E">
        <w:rPr>
          <w:sz w:val="24"/>
          <w:szCs w:val="24"/>
        </w:rPr>
        <w:t>328,9</w:t>
      </w:r>
      <w:r w:rsidRPr="001B2FCD">
        <w:rPr>
          <w:sz w:val="24"/>
          <w:szCs w:val="24"/>
        </w:rPr>
        <w:t xml:space="preserve"> тыс. руб. или </w:t>
      </w:r>
      <w:r w:rsidR="009603DC">
        <w:rPr>
          <w:sz w:val="24"/>
          <w:szCs w:val="24"/>
        </w:rPr>
        <w:t>1</w:t>
      </w:r>
      <w:r w:rsidR="004B7E02">
        <w:rPr>
          <w:sz w:val="24"/>
          <w:szCs w:val="24"/>
        </w:rPr>
        <w:t>9</w:t>
      </w:r>
      <w:r w:rsidRPr="009603DC">
        <w:rPr>
          <w:sz w:val="24"/>
          <w:szCs w:val="24"/>
        </w:rPr>
        <w:t>%</w:t>
      </w:r>
      <w:r w:rsidRPr="001B2FCD">
        <w:rPr>
          <w:sz w:val="24"/>
          <w:szCs w:val="24"/>
        </w:rPr>
        <w:t xml:space="preserve"> от утвержденных </w:t>
      </w:r>
      <w:r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E12AB2" w:rsidRPr="00933F4F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t xml:space="preserve">Объем расходов на обслуживание муниципального долга в </w:t>
      </w:r>
      <w:r>
        <w:rPr>
          <w:sz w:val="24"/>
          <w:szCs w:val="24"/>
        </w:rPr>
        <w:t>1 квартале 202</w:t>
      </w:r>
      <w:r w:rsidR="00740CA7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Pr="00933F4F">
        <w:rPr>
          <w:sz w:val="24"/>
          <w:szCs w:val="24"/>
        </w:rPr>
        <w:t xml:space="preserve"> составил </w:t>
      </w:r>
      <w:r w:rsidR="009603DC">
        <w:rPr>
          <w:sz w:val="24"/>
          <w:szCs w:val="24"/>
        </w:rPr>
        <w:t>1</w:t>
      </w:r>
      <w:r w:rsidR="004B7E02">
        <w:rPr>
          <w:sz w:val="24"/>
          <w:szCs w:val="24"/>
        </w:rPr>
        <w:t>9</w:t>
      </w:r>
      <w:r w:rsidRPr="009603DC">
        <w:rPr>
          <w:sz w:val="24"/>
          <w:szCs w:val="24"/>
        </w:rPr>
        <w:t>%</w:t>
      </w:r>
      <w:r w:rsidRPr="00933F4F">
        <w:rPr>
          <w:sz w:val="24"/>
          <w:szCs w:val="24"/>
        </w:rPr>
        <w:t xml:space="preserve"> объема расходов бюджета </w:t>
      </w:r>
      <w:r w:rsidR="00E57524">
        <w:rPr>
          <w:sz w:val="24"/>
          <w:szCs w:val="24"/>
        </w:rPr>
        <w:t>муниципального образования «</w:t>
      </w:r>
      <w:r w:rsidR="003B7F8D" w:rsidRPr="0062139D">
        <w:rPr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sz w:val="24"/>
          <w:szCs w:val="24"/>
        </w:rPr>
        <w:t>»</w:t>
      </w:r>
      <w:r w:rsidRPr="00933F4F">
        <w:rPr>
          <w:sz w:val="24"/>
          <w:szCs w:val="24"/>
        </w:rPr>
        <w:t xml:space="preserve">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12AB2" w:rsidRPr="00933F4F" w:rsidRDefault="00E12AB2" w:rsidP="00E12AB2">
      <w:pPr>
        <w:pStyle w:val="ConsPlusNormal"/>
        <w:ind w:left="68" w:firstLine="640"/>
        <w:jc w:val="both"/>
      </w:pPr>
      <w:r w:rsidRPr="00933F4F">
        <w:t xml:space="preserve">При исполнении бюджета </w:t>
      </w:r>
      <w:r w:rsidR="00E57524">
        <w:t>муниципального образования «</w:t>
      </w:r>
      <w:r w:rsidR="003B7F8D" w:rsidRPr="0062139D">
        <w:t>Муниципальный округ Каракулинский район Удмуртской Республики</w:t>
      </w:r>
      <w:r w:rsidR="00E57524">
        <w:t xml:space="preserve">» </w:t>
      </w:r>
      <w:r>
        <w:t>в 1 квартале 202</w:t>
      </w:r>
      <w:r w:rsidR="00740CA7">
        <w:t>2</w:t>
      </w:r>
      <w:r>
        <w:t xml:space="preserve"> года </w:t>
      </w:r>
      <w:r w:rsidRPr="00933F4F">
        <w:t xml:space="preserve">законодательные ограничения (ч. 2 ст. 111 БК РФ) в части расходов на обслуживание муниципального долга, соблюдены. </w:t>
      </w:r>
    </w:p>
    <w:p w:rsidR="00E12AB2" w:rsidRPr="008C08E1" w:rsidRDefault="00E12AB2" w:rsidP="00E12AB2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</w:t>
      </w:r>
      <w:r w:rsidR="00E575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rFonts w:ascii="Times New Roman" w:hAnsi="Times New Roman" w:cs="Times New Roman"/>
          <w:sz w:val="24"/>
          <w:szCs w:val="24"/>
        </w:rPr>
        <w:t xml:space="preserve">» </w:t>
      </w:r>
      <w:r w:rsidRPr="0051161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 квартал 202</w:t>
      </w:r>
      <w:r w:rsidR="00740CA7">
        <w:rPr>
          <w:rFonts w:ascii="Times New Roman" w:hAnsi="Times New Roman"/>
          <w:sz w:val="24"/>
          <w:szCs w:val="24"/>
        </w:rPr>
        <w:t>2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BA0760">
        <w:rPr>
          <w:rFonts w:ascii="Times New Roman" w:hAnsi="Times New Roman"/>
          <w:sz w:val="24"/>
          <w:szCs w:val="24"/>
        </w:rPr>
        <w:t>95 917,8</w:t>
      </w:r>
      <w:r w:rsidRPr="00511618">
        <w:rPr>
          <w:rFonts w:ascii="Times New Roman" w:hAnsi="Times New Roman"/>
          <w:sz w:val="24"/>
          <w:szCs w:val="24"/>
        </w:rPr>
        <w:t xml:space="preserve"> тыс. руб. или </w:t>
      </w:r>
      <w:r w:rsidR="00AF7B13">
        <w:rPr>
          <w:rFonts w:ascii="Times New Roman" w:hAnsi="Times New Roman"/>
          <w:sz w:val="24"/>
          <w:szCs w:val="24"/>
        </w:rPr>
        <w:t>18,</w:t>
      </w:r>
      <w:r w:rsidR="00BA0760">
        <w:rPr>
          <w:rFonts w:ascii="Times New Roman" w:hAnsi="Times New Roman"/>
          <w:sz w:val="24"/>
          <w:szCs w:val="24"/>
        </w:rPr>
        <w:t>0</w:t>
      </w:r>
      <w:r w:rsidRPr="00511618">
        <w:rPr>
          <w:rFonts w:ascii="Times New Roman" w:hAnsi="Times New Roman"/>
          <w:sz w:val="24"/>
          <w:szCs w:val="24"/>
        </w:rPr>
        <w:t xml:space="preserve">% к утвержденным </w:t>
      </w:r>
      <w:r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BA0760">
        <w:rPr>
          <w:rFonts w:ascii="Times New Roman" w:eastAsia="Times New Roman" w:hAnsi="Times New Roman"/>
          <w:sz w:val="24"/>
          <w:szCs w:val="24"/>
        </w:rPr>
        <w:t>42266,1</w:t>
      </w:r>
      <w:r>
        <w:rPr>
          <w:rFonts w:ascii="Times New Roman" w:eastAsia="Times New Roman" w:hAnsi="Times New Roman"/>
          <w:sz w:val="24"/>
          <w:szCs w:val="24"/>
        </w:rPr>
        <w:t xml:space="preserve"> тыс. руб. (2</w:t>
      </w:r>
      <w:r w:rsidR="00AF7B13">
        <w:rPr>
          <w:rFonts w:ascii="Times New Roman" w:eastAsia="Times New Roman" w:hAnsi="Times New Roman"/>
          <w:sz w:val="24"/>
          <w:szCs w:val="24"/>
        </w:rPr>
        <w:t>3,</w:t>
      </w:r>
      <w:r w:rsidR="00BA0760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>%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BA0760">
        <w:rPr>
          <w:rFonts w:ascii="Times New Roman" w:eastAsia="Times New Roman" w:hAnsi="Times New Roman"/>
          <w:sz w:val="24"/>
          <w:szCs w:val="24"/>
        </w:rPr>
        <w:t>53 651,7</w:t>
      </w:r>
      <w:r>
        <w:rPr>
          <w:rFonts w:ascii="Times New Roman" w:eastAsia="Times New Roman" w:hAnsi="Times New Roman"/>
          <w:sz w:val="24"/>
          <w:szCs w:val="24"/>
        </w:rPr>
        <w:t xml:space="preserve"> тыс. 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BA0760">
        <w:rPr>
          <w:rFonts w:ascii="Times New Roman" w:eastAsia="Times New Roman" w:hAnsi="Times New Roman" w:cs="Times New Roman"/>
          <w:sz w:val="24"/>
          <w:szCs w:val="24"/>
        </w:rPr>
        <w:t>15,7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Относительно аналогичного периода прошлого года в 1 квартале 202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FC1009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 xml:space="preserve">доли налоговых и неналоговых доходов бюджета (на </w:t>
      </w:r>
      <w:r w:rsidR="00FC1009"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пп), </w:t>
      </w:r>
      <w:r>
        <w:rPr>
          <w:rFonts w:ascii="Times New Roman" w:hAnsi="Times New Roman" w:cs="Times New Roman"/>
          <w:sz w:val="24"/>
          <w:szCs w:val="24"/>
        </w:rPr>
        <w:t xml:space="preserve">с одновременным снижением </w:t>
      </w:r>
      <w:r w:rsidRPr="00B211CC">
        <w:rPr>
          <w:rFonts w:ascii="Times New Roman" w:hAnsi="Times New Roman" w:cs="Times New Roman"/>
          <w:sz w:val="24"/>
          <w:szCs w:val="24"/>
        </w:rPr>
        <w:t xml:space="preserve">доли безвозмездных поступлений. 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Расходы бюджета за </w:t>
      </w:r>
      <w:r>
        <w:rPr>
          <w:rFonts w:ascii="Times New Roman" w:hAnsi="Times New Roman" w:cs="Times New Roman"/>
          <w:sz w:val="24"/>
          <w:szCs w:val="24"/>
        </w:rPr>
        <w:t>1 квартал 202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BA0760">
        <w:rPr>
          <w:rFonts w:ascii="Times New Roman" w:hAnsi="Times New Roman" w:cs="Times New Roman"/>
          <w:sz w:val="24"/>
          <w:szCs w:val="24"/>
        </w:rPr>
        <w:t>114 567,2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 w:rsidR="00BA0760">
        <w:rPr>
          <w:rFonts w:ascii="Times New Roman" w:hAnsi="Times New Roman" w:cs="Times New Roman"/>
          <w:sz w:val="24"/>
          <w:szCs w:val="24"/>
        </w:rPr>
        <w:t xml:space="preserve">20,8% от </w:t>
      </w:r>
      <w:r w:rsidRPr="00B211CC">
        <w:rPr>
          <w:rFonts w:ascii="Times New Roman" w:hAnsi="Times New Roman" w:cs="Times New Roman"/>
          <w:sz w:val="24"/>
          <w:szCs w:val="24"/>
        </w:rPr>
        <w:t>утвержденных годовых бюджетных ассигнований.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>Бюджет за 1 квартал 202</w:t>
      </w:r>
      <w:r w:rsidR="003B7F8D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E57524">
        <w:rPr>
          <w:rFonts w:ascii="Times New Roman" w:hAnsi="Times New Roman" w:cs="Times New Roman"/>
          <w:sz w:val="24"/>
          <w:szCs w:val="24"/>
        </w:rPr>
        <w:t>дифицитом</w:t>
      </w:r>
      <w:r w:rsidRPr="00B21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A0760">
        <w:rPr>
          <w:rFonts w:ascii="Times New Roman" w:hAnsi="Times New Roman" w:cs="Times New Roman"/>
          <w:sz w:val="24"/>
          <w:szCs w:val="24"/>
        </w:rPr>
        <w:t>18 649,4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E575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E57524">
        <w:rPr>
          <w:rFonts w:ascii="Times New Roman" w:hAnsi="Times New Roman" w:cs="Times New Roman"/>
          <w:sz w:val="24"/>
          <w:szCs w:val="24"/>
        </w:rPr>
        <w:t xml:space="preserve">» </w:t>
      </w:r>
      <w:r w:rsidRPr="00B211CC">
        <w:rPr>
          <w:rFonts w:ascii="Times New Roman" w:hAnsi="Times New Roman" w:cs="Times New Roman"/>
          <w:sz w:val="24"/>
          <w:szCs w:val="24"/>
        </w:rPr>
        <w:t>на 01.04.202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603DC">
        <w:rPr>
          <w:rFonts w:ascii="Times New Roman" w:hAnsi="Times New Roman" w:cs="Times New Roman"/>
          <w:sz w:val="24"/>
          <w:szCs w:val="24"/>
        </w:rPr>
        <w:t>15916,1</w:t>
      </w:r>
      <w:r w:rsidRPr="00B211C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что не превышает значения, установленные Решением о бюджете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40C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740C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194">
        <w:rPr>
          <w:rFonts w:ascii="Times New Roman" w:hAnsi="Times New Roman" w:cs="Times New Roman"/>
          <w:sz w:val="24"/>
          <w:szCs w:val="24"/>
        </w:rPr>
        <w:t xml:space="preserve">Кассовые расходы бюджета </w:t>
      </w:r>
      <w:r w:rsidR="00AF7B1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AF7B13">
        <w:rPr>
          <w:rFonts w:ascii="Times New Roman" w:hAnsi="Times New Roman" w:cs="Times New Roman"/>
          <w:sz w:val="24"/>
          <w:szCs w:val="24"/>
        </w:rPr>
        <w:t xml:space="preserve">» </w:t>
      </w:r>
      <w:r w:rsidRPr="00222194">
        <w:rPr>
          <w:rFonts w:ascii="Times New Roman" w:hAnsi="Times New Roman" w:cs="Times New Roman"/>
          <w:sz w:val="24"/>
          <w:szCs w:val="24"/>
        </w:rPr>
        <w:t>в 1 квартале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222194">
        <w:rPr>
          <w:rFonts w:ascii="Times New Roman" w:hAnsi="Times New Roman" w:cs="Times New Roman"/>
          <w:sz w:val="24"/>
          <w:szCs w:val="24"/>
        </w:rPr>
        <w:t xml:space="preserve"> года по разделу «Обслуживание государственного и муниципального бюджета долга» составили </w:t>
      </w:r>
      <w:r w:rsidR="00BA0760">
        <w:rPr>
          <w:rFonts w:ascii="Times New Roman" w:hAnsi="Times New Roman" w:cs="Times New Roman"/>
          <w:sz w:val="24"/>
          <w:szCs w:val="24"/>
        </w:rPr>
        <w:t>328,9</w:t>
      </w:r>
      <w:r w:rsidRPr="00222194">
        <w:rPr>
          <w:rFonts w:ascii="Times New Roman" w:hAnsi="Times New Roman" w:cs="Times New Roman"/>
          <w:sz w:val="24"/>
          <w:szCs w:val="24"/>
        </w:rPr>
        <w:t xml:space="preserve"> </w:t>
      </w:r>
      <w:r w:rsidRPr="00222194">
        <w:rPr>
          <w:rFonts w:ascii="Times New Roman" w:hAnsi="Times New Roman" w:cs="Times New Roman"/>
          <w:sz w:val="24"/>
          <w:szCs w:val="24"/>
        </w:rPr>
        <w:lastRenderedPageBreak/>
        <w:t xml:space="preserve">тыс. руб. или </w:t>
      </w:r>
      <w:r w:rsidR="00BA0760">
        <w:rPr>
          <w:rFonts w:ascii="Times New Roman" w:hAnsi="Times New Roman" w:cs="Times New Roman"/>
          <w:sz w:val="24"/>
          <w:szCs w:val="24"/>
        </w:rPr>
        <w:t>19</w:t>
      </w:r>
      <w:r w:rsidRPr="00222194">
        <w:rPr>
          <w:rFonts w:ascii="Times New Roman" w:hAnsi="Times New Roman" w:cs="Times New Roman"/>
          <w:sz w:val="24"/>
          <w:szCs w:val="24"/>
        </w:rPr>
        <w:t xml:space="preserve">% от утвержденных годовых бюджетных ассигнований. При исполнении бюджета </w:t>
      </w:r>
      <w:r w:rsidR="00AF7B1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3B7F8D" w:rsidRPr="0062139D">
        <w:rPr>
          <w:rFonts w:ascii="Times New Roman" w:hAnsi="Times New Roman" w:cs="Times New Roman"/>
          <w:sz w:val="24"/>
          <w:szCs w:val="24"/>
        </w:rPr>
        <w:t>Муниципальный округ Каракулинский район Удмуртской Республики</w:t>
      </w:r>
      <w:r w:rsidR="00AF7B13">
        <w:rPr>
          <w:rFonts w:ascii="Times New Roman" w:hAnsi="Times New Roman" w:cs="Times New Roman"/>
          <w:sz w:val="24"/>
          <w:szCs w:val="24"/>
        </w:rPr>
        <w:t xml:space="preserve">» </w:t>
      </w:r>
      <w:r w:rsidRPr="00222194">
        <w:rPr>
          <w:rFonts w:ascii="Times New Roman" w:hAnsi="Times New Roman" w:cs="Times New Roman"/>
          <w:sz w:val="24"/>
          <w:szCs w:val="24"/>
        </w:rPr>
        <w:t>в 1 квартале 202</w:t>
      </w:r>
      <w:r w:rsidR="00740CA7">
        <w:rPr>
          <w:rFonts w:ascii="Times New Roman" w:hAnsi="Times New Roman" w:cs="Times New Roman"/>
          <w:sz w:val="24"/>
          <w:szCs w:val="24"/>
        </w:rPr>
        <w:t>2</w:t>
      </w:r>
      <w:r w:rsidRPr="00222194">
        <w:rPr>
          <w:rFonts w:ascii="Times New Roman" w:hAnsi="Times New Roman" w:cs="Times New Roman"/>
          <w:sz w:val="24"/>
          <w:szCs w:val="24"/>
        </w:rPr>
        <w:t xml:space="preserve"> года законодательные</w:t>
      </w:r>
      <w:r w:rsidRPr="00B211CC">
        <w:rPr>
          <w:rFonts w:ascii="Times New Roman" w:hAnsi="Times New Roman" w:cs="Times New Roman"/>
          <w:sz w:val="24"/>
          <w:szCs w:val="24"/>
        </w:rPr>
        <w:t xml:space="preserve"> ограничения (ч. 2 ст. 111 БК РФ) в части расходов на обслуживание муниципального долга, соблюдены.</w:t>
      </w:r>
    </w:p>
    <w:p w:rsidR="00556F87" w:rsidRDefault="00556F8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87" w:rsidRDefault="00556F8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87" w:rsidRDefault="00556F8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CA7" w:rsidRDefault="00740CA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 счетного органа</w:t>
      </w:r>
    </w:p>
    <w:p w:rsidR="00740CA7" w:rsidRDefault="00740CA7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12AB2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0442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</w:p>
    <w:p w:rsidR="00E12AB2" w:rsidRPr="00044218" w:rsidRDefault="00C02AAB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="00740CA7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0442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Пономарева</w:t>
      </w:r>
    </w:p>
    <w:sectPr w:rsidR="00E12AB2" w:rsidRPr="00044218" w:rsidSect="00E6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BD" w:rsidRDefault="00BC7FBD" w:rsidP="00E12AB2">
      <w:pPr>
        <w:spacing w:after="0" w:line="240" w:lineRule="auto"/>
      </w:pPr>
      <w:r>
        <w:separator/>
      </w:r>
    </w:p>
  </w:endnote>
  <w:endnote w:type="continuationSeparator" w:id="0">
    <w:p w:rsidR="00BC7FBD" w:rsidRDefault="00BC7FBD" w:rsidP="00E1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BD" w:rsidRDefault="00BC7FBD" w:rsidP="00E12AB2">
      <w:pPr>
        <w:spacing w:after="0" w:line="240" w:lineRule="auto"/>
      </w:pPr>
      <w:r>
        <w:separator/>
      </w:r>
    </w:p>
  </w:footnote>
  <w:footnote w:type="continuationSeparator" w:id="0">
    <w:p w:rsidR="00BC7FBD" w:rsidRDefault="00BC7FBD" w:rsidP="00E1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B2"/>
    <w:rsid w:val="00013014"/>
    <w:rsid w:val="00026160"/>
    <w:rsid w:val="00032993"/>
    <w:rsid w:val="00040F6D"/>
    <w:rsid w:val="00045F93"/>
    <w:rsid w:val="00065674"/>
    <w:rsid w:val="000748AC"/>
    <w:rsid w:val="00076F04"/>
    <w:rsid w:val="000840B2"/>
    <w:rsid w:val="000946F2"/>
    <w:rsid w:val="000A2CFF"/>
    <w:rsid w:val="000A59A1"/>
    <w:rsid w:val="000B5FEB"/>
    <w:rsid w:val="000C33B5"/>
    <w:rsid w:val="000C78E7"/>
    <w:rsid w:val="000D53A7"/>
    <w:rsid w:val="001044B9"/>
    <w:rsid w:val="00154ABE"/>
    <w:rsid w:val="00155C92"/>
    <w:rsid w:val="001727EA"/>
    <w:rsid w:val="0017425A"/>
    <w:rsid w:val="00177825"/>
    <w:rsid w:val="00193C60"/>
    <w:rsid w:val="001A57D6"/>
    <w:rsid w:val="001A77DB"/>
    <w:rsid w:val="001C057B"/>
    <w:rsid w:val="001D333D"/>
    <w:rsid w:val="001D54F6"/>
    <w:rsid w:val="001D64F4"/>
    <w:rsid w:val="001E1B69"/>
    <w:rsid w:val="001E31CE"/>
    <w:rsid w:val="001E5F17"/>
    <w:rsid w:val="001E6B2F"/>
    <w:rsid w:val="001F3FCF"/>
    <w:rsid w:val="001F4D05"/>
    <w:rsid w:val="0021493F"/>
    <w:rsid w:val="00247493"/>
    <w:rsid w:val="00266BF0"/>
    <w:rsid w:val="0026738F"/>
    <w:rsid w:val="00271F8B"/>
    <w:rsid w:val="0028721E"/>
    <w:rsid w:val="00290E6C"/>
    <w:rsid w:val="002979CA"/>
    <w:rsid w:val="002A6F8F"/>
    <w:rsid w:val="002C352D"/>
    <w:rsid w:val="002E39B8"/>
    <w:rsid w:val="00307D6E"/>
    <w:rsid w:val="00315937"/>
    <w:rsid w:val="00327612"/>
    <w:rsid w:val="00384BD7"/>
    <w:rsid w:val="00386629"/>
    <w:rsid w:val="00391144"/>
    <w:rsid w:val="003B543F"/>
    <w:rsid w:val="003B7F8D"/>
    <w:rsid w:val="003C4D1B"/>
    <w:rsid w:val="003D0864"/>
    <w:rsid w:val="003E184B"/>
    <w:rsid w:val="00407991"/>
    <w:rsid w:val="00434AFB"/>
    <w:rsid w:val="00452A03"/>
    <w:rsid w:val="00467CA4"/>
    <w:rsid w:val="00477014"/>
    <w:rsid w:val="00493DB2"/>
    <w:rsid w:val="0049438C"/>
    <w:rsid w:val="004B7E02"/>
    <w:rsid w:val="004C507F"/>
    <w:rsid w:val="005106BD"/>
    <w:rsid w:val="005149DF"/>
    <w:rsid w:val="00542C94"/>
    <w:rsid w:val="005526BB"/>
    <w:rsid w:val="00556F87"/>
    <w:rsid w:val="00567CCE"/>
    <w:rsid w:val="005A73AF"/>
    <w:rsid w:val="005C40F0"/>
    <w:rsid w:val="005C5345"/>
    <w:rsid w:val="005D1416"/>
    <w:rsid w:val="005F1353"/>
    <w:rsid w:val="005F39D1"/>
    <w:rsid w:val="00604A15"/>
    <w:rsid w:val="00607C63"/>
    <w:rsid w:val="00620F6E"/>
    <w:rsid w:val="0062139D"/>
    <w:rsid w:val="00626F9B"/>
    <w:rsid w:val="006307F9"/>
    <w:rsid w:val="00655CF2"/>
    <w:rsid w:val="006656AB"/>
    <w:rsid w:val="00670043"/>
    <w:rsid w:val="00676802"/>
    <w:rsid w:val="00687EB5"/>
    <w:rsid w:val="00690288"/>
    <w:rsid w:val="00693A36"/>
    <w:rsid w:val="006965AA"/>
    <w:rsid w:val="006D461D"/>
    <w:rsid w:val="006E0DF3"/>
    <w:rsid w:val="006E6225"/>
    <w:rsid w:val="00700971"/>
    <w:rsid w:val="0070144D"/>
    <w:rsid w:val="00710CCA"/>
    <w:rsid w:val="00712D64"/>
    <w:rsid w:val="00732827"/>
    <w:rsid w:val="00740CA7"/>
    <w:rsid w:val="00785731"/>
    <w:rsid w:val="00787D79"/>
    <w:rsid w:val="007926C2"/>
    <w:rsid w:val="007B6D55"/>
    <w:rsid w:val="007D3BB1"/>
    <w:rsid w:val="00842919"/>
    <w:rsid w:val="008A0694"/>
    <w:rsid w:val="008A2C35"/>
    <w:rsid w:val="008E4377"/>
    <w:rsid w:val="008E545A"/>
    <w:rsid w:val="008F6CA0"/>
    <w:rsid w:val="00907FE5"/>
    <w:rsid w:val="00916386"/>
    <w:rsid w:val="009311D5"/>
    <w:rsid w:val="00943867"/>
    <w:rsid w:val="009603DC"/>
    <w:rsid w:val="00967439"/>
    <w:rsid w:val="00971322"/>
    <w:rsid w:val="00976016"/>
    <w:rsid w:val="00980636"/>
    <w:rsid w:val="00982389"/>
    <w:rsid w:val="0098525D"/>
    <w:rsid w:val="009A011B"/>
    <w:rsid w:val="009A315E"/>
    <w:rsid w:val="009F38D2"/>
    <w:rsid w:val="00A0489F"/>
    <w:rsid w:val="00A154BA"/>
    <w:rsid w:val="00A30780"/>
    <w:rsid w:val="00A32906"/>
    <w:rsid w:val="00A3732A"/>
    <w:rsid w:val="00A43129"/>
    <w:rsid w:val="00A47EAF"/>
    <w:rsid w:val="00A56DE8"/>
    <w:rsid w:val="00A61126"/>
    <w:rsid w:val="00A61442"/>
    <w:rsid w:val="00A61F85"/>
    <w:rsid w:val="00A90BC4"/>
    <w:rsid w:val="00A918A1"/>
    <w:rsid w:val="00A97E69"/>
    <w:rsid w:val="00AB2F02"/>
    <w:rsid w:val="00AB4286"/>
    <w:rsid w:val="00AB619C"/>
    <w:rsid w:val="00AD1765"/>
    <w:rsid w:val="00AF7B13"/>
    <w:rsid w:val="00B0122A"/>
    <w:rsid w:val="00B64912"/>
    <w:rsid w:val="00B64950"/>
    <w:rsid w:val="00B8068B"/>
    <w:rsid w:val="00B93FA0"/>
    <w:rsid w:val="00B97A87"/>
    <w:rsid w:val="00BA0760"/>
    <w:rsid w:val="00BA683C"/>
    <w:rsid w:val="00BC7FBD"/>
    <w:rsid w:val="00BE3DE7"/>
    <w:rsid w:val="00BE76F5"/>
    <w:rsid w:val="00BF422E"/>
    <w:rsid w:val="00C02AAB"/>
    <w:rsid w:val="00C27E17"/>
    <w:rsid w:val="00C36E3C"/>
    <w:rsid w:val="00C40358"/>
    <w:rsid w:val="00C51B21"/>
    <w:rsid w:val="00C60F3C"/>
    <w:rsid w:val="00C61A62"/>
    <w:rsid w:val="00C637B2"/>
    <w:rsid w:val="00C7179E"/>
    <w:rsid w:val="00C7229A"/>
    <w:rsid w:val="00C76047"/>
    <w:rsid w:val="00C775E0"/>
    <w:rsid w:val="00C97F96"/>
    <w:rsid w:val="00CA2544"/>
    <w:rsid w:val="00CC177F"/>
    <w:rsid w:val="00D51349"/>
    <w:rsid w:val="00D8444E"/>
    <w:rsid w:val="00D973BA"/>
    <w:rsid w:val="00DD0A39"/>
    <w:rsid w:val="00DD1B63"/>
    <w:rsid w:val="00E12AB2"/>
    <w:rsid w:val="00E15416"/>
    <w:rsid w:val="00E16008"/>
    <w:rsid w:val="00E30388"/>
    <w:rsid w:val="00E57524"/>
    <w:rsid w:val="00E64F29"/>
    <w:rsid w:val="00EA40A5"/>
    <w:rsid w:val="00EB35A6"/>
    <w:rsid w:val="00ED5E7D"/>
    <w:rsid w:val="00ED731F"/>
    <w:rsid w:val="00EE3782"/>
    <w:rsid w:val="00EF420B"/>
    <w:rsid w:val="00F01B54"/>
    <w:rsid w:val="00F230CB"/>
    <w:rsid w:val="00F2582F"/>
    <w:rsid w:val="00F30F0E"/>
    <w:rsid w:val="00F362D4"/>
    <w:rsid w:val="00F43261"/>
    <w:rsid w:val="00F5137D"/>
    <w:rsid w:val="00F61E20"/>
    <w:rsid w:val="00F87340"/>
    <w:rsid w:val="00FA14F9"/>
    <w:rsid w:val="00FB1FD2"/>
    <w:rsid w:val="00FB6144"/>
    <w:rsid w:val="00FC1009"/>
    <w:rsid w:val="00FC7ADD"/>
    <w:rsid w:val="00FD1920"/>
    <w:rsid w:val="00FD38EF"/>
    <w:rsid w:val="00F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1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2AB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2AB2"/>
    <w:pPr>
      <w:ind w:left="720"/>
      <w:contextualSpacing/>
    </w:pPr>
  </w:style>
  <w:style w:type="paragraph" w:customStyle="1" w:styleId="ConsPlusNormal">
    <w:name w:val="ConsPlusNormal"/>
    <w:qFormat/>
    <w:rsid w:val="00E12AB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12A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AB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12AB2"/>
    <w:rPr>
      <w:vertAlign w:val="superscript"/>
    </w:rPr>
  </w:style>
  <w:style w:type="paragraph" w:styleId="a7">
    <w:name w:val="Body Text Indent"/>
    <w:basedOn w:val="a"/>
    <w:link w:val="a8"/>
    <w:rsid w:val="00E12A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1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A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178.5</c:v>
                </c:pt>
                <c:pt idx="1">
                  <c:v>342.4</c:v>
                </c:pt>
                <c:pt idx="2">
                  <c:v>520.9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42.3</c:v>
                </c:pt>
                <c:pt idx="1">
                  <c:v>53.7</c:v>
                </c:pt>
                <c:pt idx="2">
                  <c:v>96</c:v>
                </c:pt>
              </c:numCache>
            </c:numRef>
          </c:val>
        </c:ser>
        <c:axId val="75472896"/>
        <c:axId val="75644928"/>
      </c:barChart>
      <c:catAx>
        <c:axId val="75472896"/>
        <c:scaling>
          <c:orientation val="minMax"/>
        </c:scaling>
        <c:axPos val="b"/>
        <c:tickLblPos val="nextTo"/>
        <c:crossAx val="75644928"/>
        <c:crosses val="autoZero"/>
        <c:auto val="1"/>
        <c:lblAlgn val="ctr"/>
        <c:lblOffset val="100"/>
      </c:catAx>
      <c:valAx>
        <c:axId val="75644928"/>
        <c:scaling>
          <c:orientation val="minMax"/>
        </c:scaling>
        <c:axPos val="l"/>
        <c:majorGridlines/>
        <c:numFmt formatCode="#,##0.00" sourceLinked="1"/>
        <c:tickLblPos val="nextTo"/>
        <c:crossAx val="7547289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2019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564102564102585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0683760683760771E-2"/>
                  <c:y val="2.8684635574399542E-2"/>
                </c:manualLayout>
              </c:layout>
              <c:showVal val="1"/>
            </c:dLbl>
            <c:dLbl>
              <c:idx val="2"/>
              <c:layout>
                <c:manualLayout>
                  <c:x val="-2.3623056733292937E-2"/>
                  <c:y val="1.2224577697018804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30.6</c:v>
                </c:pt>
                <c:pt idx="1">
                  <c:v>77.2</c:v>
                </c:pt>
                <c:pt idx="2">
                  <c:v>107.80000000000001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2020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1.282051282051282E-2"/>
                  <c:y val="2.9914529914529909E-2"/>
                </c:manualLayout>
              </c:layout>
              <c:showVal val="1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36.200000000000003</c:v>
                </c:pt>
                <c:pt idx="1">
                  <c:v>64.599999999999994</c:v>
                </c:pt>
                <c:pt idx="2">
                  <c:v>100.8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0"/>
                  <c:y val="2.8162056665993668E-2"/>
                </c:manualLayout>
              </c:layout>
              <c:showVal val="1"/>
            </c:dLbl>
            <c:dLbl>
              <c:idx val="1"/>
              <c:layout>
                <c:manualLayout>
                  <c:x val="1.5431724880543777E-3"/>
                  <c:y val="-1.0835520559930084E-2"/>
                </c:manualLayout>
              </c:layout>
              <c:showVal val="1"/>
            </c:dLbl>
            <c:dLbl>
              <c:idx val="2"/>
              <c:layout>
                <c:manualLayout>
                  <c:x val="2.136752136752137E-3"/>
                  <c:y val="3.8276801938219258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33.9</c:v>
                </c:pt>
                <c:pt idx="1">
                  <c:v>68.900000000000006</c:v>
                </c:pt>
                <c:pt idx="2">
                  <c:v>102.80000000000001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2022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1"/>
              <c:layout>
                <c:manualLayout>
                  <c:x val="2.0061728395061731E-2"/>
                  <c:y val="-3.6675063748191482E-2"/>
                </c:manualLayout>
              </c:layout>
              <c:showVal val="1"/>
            </c:dLbl>
            <c:dLbl>
              <c:idx val="2"/>
              <c:layout>
                <c:manualLayout>
                  <c:x val="3.5493827160494061E-2"/>
                  <c:y val="1.630002833252967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42.3</c:v>
                </c:pt>
                <c:pt idx="1">
                  <c:v>53.7</c:v>
                </c:pt>
                <c:pt idx="2">
                  <c:v>96</c:v>
                </c:pt>
              </c:numCache>
            </c:numRef>
          </c:val>
        </c:ser>
        <c:axId val="81230464"/>
        <c:axId val="81232640"/>
      </c:barChart>
      <c:catAx>
        <c:axId val="812304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1232640"/>
        <c:crosses val="autoZero"/>
        <c:auto val="1"/>
        <c:lblAlgn val="ctr"/>
        <c:lblOffset val="100"/>
      </c:catAx>
      <c:valAx>
        <c:axId val="81232640"/>
        <c:scaling>
          <c:orientation val="minMax"/>
        </c:scaling>
        <c:axPos val="l"/>
        <c:majorGridlines/>
        <c:numFmt formatCode="#,##0.00" sourceLinked="1"/>
        <c:tickLblPos val="nextTo"/>
        <c:crossAx val="81230464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кв. 2019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8.2687338501292885E-3"/>
                  <c:y val="2.729044834308E-2"/>
                </c:manualLayout>
              </c:layout>
              <c:showVal val="1"/>
            </c:dLbl>
            <c:dLbl>
              <c:idx val="2"/>
              <c:layout>
                <c:manualLayout>
                  <c:x val="-2.48062015503876E-2"/>
                  <c:y val="1.5594234931159918E-2"/>
                </c:manualLayout>
              </c:layout>
              <c:showVal val="1"/>
            </c:dLbl>
            <c:dLbl>
              <c:idx val="4"/>
              <c:layout>
                <c:manualLayout>
                  <c:x val="-3.9276485788113692E-2"/>
                  <c:y val="2.339181286549707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5">
                  <c:v>ИТОГО безвозмездные постепления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13.76</c:v>
                </c:pt>
                <c:pt idx="1">
                  <c:v>0.9</c:v>
                </c:pt>
                <c:pt idx="2">
                  <c:v>55.92</c:v>
                </c:pt>
                <c:pt idx="3">
                  <c:v>7.6</c:v>
                </c:pt>
                <c:pt idx="5">
                  <c:v>77.169999999999987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кв. 2020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2"/>
              <c:layout>
                <c:manualLayout>
                  <c:x val="0"/>
                  <c:y val="1.9493177387914413E-2"/>
                </c:manualLayout>
              </c:layout>
              <c:showVal val="1"/>
            </c:dLbl>
            <c:dLbl>
              <c:idx val="4"/>
              <c:layout>
                <c:manualLayout>
                  <c:x val="-1.24031007751938E-2"/>
                  <c:y val="7.7972709551656924E-3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5">
                  <c:v>ИТОГО безвозмездные постепления</c:v>
                </c:pt>
              </c:strCache>
            </c:strRef>
          </c:cat>
          <c:val>
            <c:numRef>
              <c:f>Лист1!$C$2:$C$7</c:f>
              <c:numCache>
                <c:formatCode>0.00</c:formatCode>
                <c:ptCount val="6"/>
                <c:pt idx="0">
                  <c:v>14.2</c:v>
                </c:pt>
                <c:pt idx="1">
                  <c:v>1.77</c:v>
                </c:pt>
                <c:pt idx="2">
                  <c:v>42.03</c:v>
                </c:pt>
                <c:pt idx="3">
                  <c:v>7.6099999999999985</c:v>
                </c:pt>
                <c:pt idx="5">
                  <c:v>64.61999999999999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кв. 2021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0671834625323598E-3"/>
                  <c:y val="4.2884990253411977E-2"/>
                </c:manualLayout>
              </c:layout>
              <c:showVal val="1"/>
            </c:dLbl>
            <c:dLbl>
              <c:idx val="2"/>
              <c:layout>
                <c:manualLayout>
                  <c:x val="8.2687338501292885E-3"/>
                  <c:y val="-2.3391812865497082E-2"/>
                </c:manualLayout>
              </c:layout>
              <c:showVal val="1"/>
            </c:dLbl>
            <c:dLbl>
              <c:idx val="4"/>
              <c:layout>
                <c:manualLayout>
                  <c:x val="-1.24031007751938E-2"/>
                  <c:y val="1.169590643274853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5">
                  <c:v>ИТОГО безвозмездные постепления</c:v>
                </c:pt>
              </c:strCache>
            </c:strRef>
          </c:cat>
          <c:val>
            <c:numRef>
              <c:f>Лист1!$D$2:$D$7</c:f>
              <c:numCache>
                <c:formatCode>0.00</c:formatCode>
                <c:ptCount val="6"/>
                <c:pt idx="0">
                  <c:v>13.98</c:v>
                </c:pt>
                <c:pt idx="1">
                  <c:v>3.3699999999999997</c:v>
                </c:pt>
                <c:pt idx="2">
                  <c:v>42.33</c:v>
                </c:pt>
                <c:pt idx="3">
                  <c:v>10.139999999999999</c:v>
                </c:pt>
                <c:pt idx="5">
                  <c:v>68.900000000000006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кв. 2022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2"/>
              <c:layout>
                <c:manualLayout>
                  <c:x val="3.100775193798448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Возврат остатков субсидий, субвенций и иных межбюджетных трансфертов,имеющих целевое назначение, прошлых лет.</c:v>
                </c:pt>
                <c:pt idx="5">
                  <c:v>ИТОГО безвозмездные постепления</c:v>
                </c:pt>
              </c:strCache>
            </c:strRef>
          </c:cat>
          <c:val>
            <c:numRef>
              <c:f>Лист1!$E$2:$E$7</c:f>
              <c:numCache>
                <c:formatCode>0.00</c:formatCode>
                <c:ptCount val="6"/>
                <c:pt idx="0">
                  <c:v>14.25</c:v>
                </c:pt>
                <c:pt idx="1">
                  <c:v>4.17</c:v>
                </c:pt>
                <c:pt idx="2">
                  <c:v>41.89</c:v>
                </c:pt>
                <c:pt idx="3">
                  <c:v>4.78</c:v>
                </c:pt>
                <c:pt idx="4">
                  <c:v>-11.44</c:v>
                </c:pt>
                <c:pt idx="5">
                  <c:v>53.650000000000006</c:v>
                </c:pt>
              </c:numCache>
            </c:numRef>
          </c:val>
        </c:ser>
        <c:dLbls>
          <c:showVal val="1"/>
        </c:dLbls>
        <c:gapWidth val="75"/>
        <c:axId val="93620096"/>
        <c:axId val="93621632"/>
      </c:barChart>
      <c:catAx>
        <c:axId val="93620096"/>
        <c:scaling>
          <c:orientation val="minMax"/>
        </c:scaling>
        <c:axPos val="b"/>
        <c:majorTickMark val="none"/>
        <c:tickLblPos val="nextTo"/>
        <c:crossAx val="93621632"/>
        <c:crosses val="autoZero"/>
        <c:auto val="1"/>
        <c:lblAlgn val="ctr"/>
        <c:lblOffset val="100"/>
      </c:catAx>
      <c:valAx>
        <c:axId val="93621632"/>
        <c:scaling>
          <c:orientation val="minMax"/>
        </c:scaling>
        <c:axPos val="l"/>
        <c:numFmt formatCode="0.00" sourceLinked="1"/>
        <c:majorTickMark val="none"/>
        <c:tickLblPos val="nextTo"/>
        <c:crossAx val="9362009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 b="0"/>
      </a:pPr>
      <a:endParaRPr lang="ru-RU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9E7F-BC88-4BD7-A9FE-01EDAC8D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1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44</cp:revision>
  <cp:lastPrinted>2022-08-09T07:03:00Z</cp:lastPrinted>
  <dcterms:created xsi:type="dcterms:W3CDTF">2021-08-09T09:51:00Z</dcterms:created>
  <dcterms:modified xsi:type="dcterms:W3CDTF">2022-08-09T07:05:00Z</dcterms:modified>
</cp:coreProperties>
</file>