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D45F4" w:rsidRPr="00E60F47" w:rsidTr="002A5020">
        <w:tc>
          <w:tcPr>
            <w:tcW w:w="709" w:type="dxa"/>
            <w:tcBorders>
              <w:top w:val="nil"/>
              <w:left w:val="nil"/>
              <w:bottom w:val="nil"/>
              <w:right w:val="nil"/>
            </w:tcBorders>
          </w:tcPr>
          <w:p w:rsidR="007D45F4" w:rsidRPr="008719B5" w:rsidRDefault="007D45F4" w:rsidP="00CA3B22">
            <w:pPr>
              <w:tabs>
                <w:tab w:val="left" w:pos="1400"/>
              </w:tabs>
              <w:jc w:val="center"/>
            </w:pPr>
          </w:p>
          <w:p w:rsidR="007D45F4" w:rsidRPr="004B5A18" w:rsidRDefault="007D45F4" w:rsidP="00CA3B22">
            <w:pPr>
              <w:tabs>
                <w:tab w:val="left" w:pos="1400"/>
              </w:tabs>
              <w:jc w:val="center"/>
              <w:rPr>
                <w:sz w:val="18"/>
                <w:szCs w:val="18"/>
              </w:rPr>
            </w:pPr>
          </w:p>
        </w:tc>
        <w:tc>
          <w:tcPr>
            <w:tcW w:w="9214" w:type="dxa"/>
            <w:tcBorders>
              <w:top w:val="nil"/>
              <w:left w:val="nil"/>
              <w:bottom w:val="nil"/>
              <w:right w:val="nil"/>
            </w:tcBorders>
          </w:tcPr>
          <w:p w:rsidR="007D45F4" w:rsidRPr="008719B5" w:rsidRDefault="003812F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7D45F4" w:rsidRDefault="007D45F4" w:rsidP="00CA3B22">
            <w:pPr>
              <w:jc w:val="both"/>
              <w:rPr>
                <w:bCs/>
                <w:sz w:val="18"/>
                <w:szCs w:val="18"/>
              </w:rPr>
            </w:pPr>
          </w:p>
          <w:p w:rsidR="007D45F4" w:rsidRPr="004B5A18" w:rsidRDefault="007D45F4" w:rsidP="00CA3B22">
            <w:pPr>
              <w:jc w:val="center"/>
              <w:rPr>
                <w:bCs/>
                <w:sz w:val="18"/>
                <w:szCs w:val="18"/>
              </w:rPr>
            </w:pPr>
          </w:p>
          <w:p w:rsidR="007D45F4" w:rsidRPr="004B5A18" w:rsidRDefault="007D45F4" w:rsidP="00CA3B22">
            <w:pPr>
              <w:jc w:val="center"/>
              <w:rPr>
                <w:bCs/>
                <w:sz w:val="18"/>
                <w:szCs w:val="18"/>
              </w:rPr>
            </w:pPr>
          </w:p>
        </w:tc>
      </w:tr>
    </w:tbl>
    <w:p w:rsidR="007D45F4" w:rsidRPr="00AB2396" w:rsidRDefault="007D45F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D45F4" w:rsidRPr="00AB2396" w:rsidRDefault="007D45F4" w:rsidP="00CF6E91">
      <w:pPr>
        <w:tabs>
          <w:tab w:val="left" w:pos="567"/>
          <w:tab w:val="left" w:pos="18286"/>
        </w:tabs>
        <w:ind w:left="142" w:right="172" w:hanging="142"/>
        <w:jc w:val="center"/>
      </w:pPr>
      <w:r w:rsidRPr="00AB2396">
        <w:t>«КАРАКУЛИНСКИЙ РАЙОН»</w:t>
      </w:r>
    </w:p>
    <w:p w:rsidR="007D45F4" w:rsidRDefault="007D45F4" w:rsidP="00A91960">
      <w:pPr>
        <w:tabs>
          <w:tab w:val="left" w:pos="567"/>
          <w:tab w:val="left" w:pos="18286"/>
        </w:tabs>
        <w:ind w:left="142" w:right="172"/>
        <w:jc w:val="right"/>
        <w:rPr>
          <w:sz w:val="18"/>
          <w:szCs w:val="18"/>
        </w:rPr>
      </w:pPr>
    </w:p>
    <w:p w:rsidR="00846655" w:rsidRDefault="00846655" w:rsidP="00A91960">
      <w:pPr>
        <w:tabs>
          <w:tab w:val="left" w:pos="567"/>
          <w:tab w:val="left" w:pos="18286"/>
        </w:tabs>
        <w:ind w:left="142" w:right="172"/>
        <w:jc w:val="right"/>
        <w:rPr>
          <w:sz w:val="18"/>
          <w:szCs w:val="18"/>
        </w:rPr>
      </w:pPr>
    </w:p>
    <w:p w:rsidR="009532B8" w:rsidRDefault="009532B8" w:rsidP="00A91960">
      <w:pPr>
        <w:tabs>
          <w:tab w:val="left" w:pos="567"/>
          <w:tab w:val="left" w:pos="18286"/>
        </w:tabs>
        <w:ind w:left="142" w:right="172"/>
        <w:jc w:val="right"/>
        <w:rPr>
          <w:sz w:val="18"/>
          <w:szCs w:val="18"/>
        </w:rPr>
      </w:pPr>
    </w:p>
    <w:p w:rsidR="00846655" w:rsidRPr="00A91960" w:rsidRDefault="00846655" w:rsidP="00A91960">
      <w:pPr>
        <w:tabs>
          <w:tab w:val="left" w:pos="567"/>
          <w:tab w:val="left" w:pos="18286"/>
        </w:tabs>
        <w:ind w:left="142" w:right="172"/>
        <w:jc w:val="right"/>
        <w:rPr>
          <w:sz w:val="18"/>
          <w:szCs w:val="18"/>
        </w:rPr>
      </w:pPr>
    </w:p>
    <w:p w:rsidR="007D45F4" w:rsidRPr="004D724A" w:rsidRDefault="007D45F4" w:rsidP="00BE04E5">
      <w:pPr>
        <w:jc w:val="center"/>
        <w:outlineLvl w:val="2"/>
        <w:rPr>
          <w:b/>
          <w:color w:val="000000"/>
          <w:spacing w:val="3"/>
        </w:rPr>
      </w:pPr>
      <w:r w:rsidRPr="004D724A">
        <w:rPr>
          <w:b/>
          <w:color w:val="000000"/>
          <w:spacing w:val="3"/>
        </w:rPr>
        <w:t>Заключение</w:t>
      </w:r>
    </w:p>
    <w:p w:rsidR="007D45F4" w:rsidRDefault="007D45F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D45F4" w:rsidRDefault="007D45F4" w:rsidP="00BE04E5">
      <w:pPr>
        <w:jc w:val="center"/>
        <w:outlineLvl w:val="2"/>
        <w:rPr>
          <w:b/>
          <w:color w:val="000000"/>
          <w:spacing w:val="3"/>
        </w:rPr>
      </w:pPr>
      <w:r w:rsidRPr="004D724A">
        <w:rPr>
          <w:b/>
          <w:color w:val="000000"/>
          <w:spacing w:val="3"/>
        </w:rPr>
        <w:t>«</w:t>
      </w:r>
      <w:r w:rsidR="00B4671D">
        <w:rPr>
          <w:b/>
          <w:color w:val="000000"/>
          <w:spacing w:val="3"/>
        </w:rPr>
        <w:t>Пинязьское</w:t>
      </w:r>
      <w:r w:rsidRPr="004D724A">
        <w:rPr>
          <w:b/>
          <w:color w:val="000000"/>
          <w:spacing w:val="3"/>
        </w:rPr>
        <w:t xml:space="preserve">» «О бюджете муниципального образования </w:t>
      </w:r>
    </w:p>
    <w:p w:rsidR="007D45F4" w:rsidRPr="004D724A" w:rsidRDefault="007D45F4" w:rsidP="00BE04E5">
      <w:pPr>
        <w:jc w:val="center"/>
        <w:outlineLvl w:val="2"/>
        <w:rPr>
          <w:color w:val="000000"/>
          <w:spacing w:val="3"/>
        </w:rPr>
      </w:pPr>
      <w:r w:rsidRPr="004D724A">
        <w:rPr>
          <w:b/>
          <w:color w:val="000000"/>
          <w:spacing w:val="3"/>
        </w:rPr>
        <w:t>«</w:t>
      </w:r>
      <w:r w:rsidR="00B4671D">
        <w:rPr>
          <w:b/>
          <w:color w:val="000000"/>
          <w:spacing w:val="3"/>
        </w:rPr>
        <w:t>Пинязьское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D45F4" w:rsidRDefault="007D45F4" w:rsidP="001429FB">
      <w:pPr>
        <w:tabs>
          <w:tab w:val="left" w:pos="567"/>
          <w:tab w:val="left" w:pos="18286"/>
        </w:tabs>
        <w:ind w:left="142" w:right="172"/>
        <w:jc w:val="center"/>
        <w:rPr>
          <w:b/>
          <w:sz w:val="26"/>
          <w:szCs w:val="26"/>
        </w:rPr>
      </w:pPr>
    </w:p>
    <w:p w:rsidR="00846655" w:rsidRDefault="00846655" w:rsidP="001429FB">
      <w:pPr>
        <w:tabs>
          <w:tab w:val="left" w:pos="567"/>
          <w:tab w:val="left" w:pos="18286"/>
        </w:tabs>
        <w:ind w:left="142" w:right="172"/>
        <w:jc w:val="center"/>
        <w:rPr>
          <w:b/>
          <w:sz w:val="26"/>
          <w:szCs w:val="26"/>
        </w:rPr>
      </w:pPr>
    </w:p>
    <w:p w:rsidR="007D45F4" w:rsidRPr="00E67232" w:rsidRDefault="007D45F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B4671D">
        <w:rPr>
          <w:sz w:val="20"/>
          <w:szCs w:val="20"/>
        </w:rPr>
        <w:t xml:space="preserve">             </w:t>
      </w:r>
      <w:r w:rsidRPr="00E67232">
        <w:rPr>
          <w:sz w:val="20"/>
          <w:szCs w:val="20"/>
        </w:rPr>
        <w:t xml:space="preserve">     1</w:t>
      </w:r>
      <w:r w:rsidR="00B4671D">
        <w:rPr>
          <w:sz w:val="20"/>
          <w:szCs w:val="20"/>
        </w:rPr>
        <w:t>9</w:t>
      </w:r>
      <w:r w:rsidRPr="00E67232">
        <w:rPr>
          <w:sz w:val="20"/>
          <w:szCs w:val="20"/>
        </w:rPr>
        <w:t>.12.201</w:t>
      </w:r>
      <w:r>
        <w:rPr>
          <w:sz w:val="20"/>
          <w:szCs w:val="20"/>
        </w:rPr>
        <w:t>9</w:t>
      </w:r>
      <w:r w:rsidRPr="00E67232">
        <w:rPr>
          <w:sz w:val="20"/>
          <w:szCs w:val="20"/>
        </w:rPr>
        <w:t xml:space="preserve"> года</w:t>
      </w:r>
    </w:p>
    <w:p w:rsidR="007D45F4" w:rsidRPr="00202417" w:rsidRDefault="007D45F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B4671D">
        <w:rPr>
          <w:sz w:val="26"/>
          <w:szCs w:val="26"/>
        </w:rPr>
        <w:t>Пинязьское</w:t>
      </w:r>
      <w:r w:rsidRPr="007A550A">
        <w:rPr>
          <w:sz w:val="26"/>
          <w:szCs w:val="26"/>
        </w:rPr>
        <w:t xml:space="preserve">» </w:t>
      </w:r>
      <w:r w:rsidRPr="007A550A">
        <w:rPr>
          <w:bCs/>
          <w:sz w:val="26"/>
          <w:szCs w:val="26"/>
        </w:rPr>
        <w:t>«О бюджете муниципального обр</w:t>
      </w:r>
      <w:r>
        <w:rPr>
          <w:bCs/>
          <w:sz w:val="26"/>
          <w:szCs w:val="26"/>
        </w:rPr>
        <w:t>азования «</w:t>
      </w:r>
      <w:r w:rsidR="00B4671D">
        <w:rPr>
          <w:bCs/>
          <w:sz w:val="26"/>
          <w:szCs w:val="26"/>
        </w:rPr>
        <w:t>Пинязьское</w:t>
      </w:r>
      <w:r>
        <w:rPr>
          <w:bCs/>
          <w:sz w:val="26"/>
          <w:szCs w:val="26"/>
        </w:rPr>
        <w:t>»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sidR="00B4671D">
        <w:rPr>
          <w:bCs/>
          <w:sz w:val="26"/>
          <w:szCs w:val="26"/>
        </w:rPr>
        <w:t>18</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D45F4" w:rsidRPr="00213E5B" w:rsidRDefault="007D45F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w:t>
      </w:r>
      <w:r w:rsidR="00B4671D">
        <w:rPr>
          <w:sz w:val="26"/>
          <w:szCs w:val="26"/>
        </w:rPr>
        <w:t>9</w:t>
      </w:r>
      <w:r w:rsidRPr="00213E5B">
        <w:rPr>
          <w:sz w:val="26"/>
          <w:szCs w:val="26"/>
        </w:rPr>
        <w:t>.12.201</w:t>
      </w:r>
      <w:r>
        <w:rPr>
          <w:sz w:val="26"/>
          <w:szCs w:val="26"/>
        </w:rPr>
        <w:t>9</w:t>
      </w:r>
      <w:r w:rsidRPr="00213E5B">
        <w:rPr>
          <w:sz w:val="26"/>
          <w:szCs w:val="26"/>
        </w:rPr>
        <w:t xml:space="preserve"> г.</w:t>
      </w:r>
    </w:p>
    <w:p w:rsidR="007D45F4" w:rsidRPr="008D65F7" w:rsidRDefault="007D45F4" w:rsidP="00A9619F">
      <w:pPr>
        <w:jc w:val="both"/>
        <w:rPr>
          <w:sz w:val="26"/>
          <w:szCs w:val="26"/>
        </w:rPr>
      </w:pPr>
    </w:p>
    <w:p w:rsidR="007D45F4" w:rsidRPr="00202417" w:rsidRDefault="007D45F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sidR="00B4671D">
        <w:rPr>
          <w:sz w:val="26"/>
          <w:szCs w:val="26"/>
        </w:rPr>
        <w:t>Пинязьское</w:t>
      </w:r>
      <w:r w:rsidRPr="008D65F7">
        <w:rPr>
          <w:sz w:val="26"/>
          <w:szCs w:val="26"/>
        </w:rPr>
        <w:t>» переданы Администрацией муниципального образования «</w:t>
      </w:r>
      <w:r w:rsidR="00B4671D">
        <w:rPr>
          <w:sz w:val="26"/>
          <w:szCs w:val="26"/>
        </w:rPr>
        <w:t>Пинязьское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w:t>
      </w:r>
      <w:r w:rsidR="00B4671D">
        <w:rPr>
          <w:sz w:val="26"/>
          <w:szCs w:val="26"/>
        </w:rPr>
        <w:t>8</w:t>
      </w:r>
      <w:r w:rsidRPr="00040F2C">
        <w:rPr>
          <w:sz w:val="26"/>
          <w:szCs w:val="26"/>
        </w:rPr>
        <w:t>.</w:t>
      </w:r>
      <w:r w:rsidRPr="00202417">
        <w:rPr>
          <w:color w:val="FF0000"/>
          <w:sz w:val="26"/>
          <w:szCs w:val="26"/>
        </w:rPr>
        <w:t xml:space="preserve"> </w:t>
      </w:r>
    </w:p>
    <w:p w:rsidR="007D45F4" w:rsidRDefault="007D45F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D45F4" w:rsidRPr="00213E5B" w:rsidRDefault="007D45F4" w:rsidP="007A550A">
      <w:pPr>
        <w:pStyle w:val="af3"/>
        <w:jc w:val="both"/>
        <w:rPr>
          <w:sz w:val="26"/>
          <w:szCs w:val="26"/>
        </w:rPr>
      </w:pPr>
      <w:r>
        <w:rPr>
          <w:sz w:val="26"/>
          <w:szCs w:val="26"/>
        </w:rPr>
        <w:t xml:space="preserve">      </w:t>
      </w:r>
      <w:r w:rsidRPr="003812FF">
        <w:rPr>
          <w:sz w:val="26"/>
          <w:szCs w:val="26"/>
        </w:rPr>
        <w:t>В соответствии со ст. 28 Федерального закона № 131-ФЗ постановлением главы муниципального образования «</w:t>
      </w:r>
      <w:r w:rsidR="00B4671D" w:rsidRPr="003812FF">
        <w:rPr>
          <w:sz w:val="26"/>
          <w:szCs w:val="26"/>
        </w:rPr>
        <w:t>Пинязьское</w:t>
      </w:r>
      <w:r w:rsidR="003812FF" w:rsidRPr="003812FF">
        <w:rPr>
          <w:sz w:val="26"/>
          <w:szCs w:val="26"/>
        </w:rPr>
        <w:t>» от 12.12.2019 года №4</w:t>
      </w:r>
      <w:r w:rsidRPr="003812FF">
        <w:rPr>
          <w:sz w:val="26"/>
          <w:szCs w:val="26"/>
        </w:rPr>
        <w:t xml:space="preserve"> проект бюджета вы</w:t>
      </w:r>
      <w:r w:rsidR="003812FF" w:rsidRPr="003812FF">
        <w:rPr>
          <w:sz w:val="26"/>
          <w:szCs w:val="26"/>
        </w:rPr>
        <w:t>носится на публичные слушания 23</w:t>
      </w:r>
      <w:r w:rsidRPr="003812FF">
        <w:rPr>
          <w:sz w:val="26"/>
          <w:szCs w:val="26"/>
        </w:rPr>
        <w:t>.12.2019 года.</w:t>
      </w:r>
      <w:r w:rsidRPr="00213E5B">
        <w:rPr>
          <w:sz w:val="26"/>
          <w:szCs w:val="26"/>
        </w:rPr>
        <w:t xml:space="preserve"> </w:t>
      </w:r>
    </w:p>
    <w:p w:rsidR="007D45F4" w:rsidRPr="00213E5B" w:rsidRDefault="007D45F4"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B4671D">
        <w:rPr>
          <w:sz w:val="26"/>
          <w:szCs w:val="26"/>
        </w:rPr>
        <w:t>Пинязьское</w:t>
      </w:r>
      <w:r w:rsidRPr="00213E5B">
        <w:rPr>
          <w:sz w:val="26"/>
          <w:szCs w:val="26"/>
        </w:rPr>
        <w:t>».</w:t>
      </w:r>
    </w:p>
    <w:p w:rsidR="007D45F4" w:rsidRPr="0003649D" w:rsidRDefault="007D45F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D45F4" w:rsidRDefault="007D45F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sidR="00B4671D">
        <w:rPr>
          <w:sz w:val="26"/>
          <w:szCs w:val="26"/>
        </w:rPr>
        <w:t>Пинязьское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9532B8" w:rsidRDefault="009532B8" w:rsidP="00A27343">
      <w:pPr>
        <w:pStyle w:val="af6"/>
        <w:ind w:left="720"/>
        <w:jc w:val="right"/>
        <w:rPr>
          <w:rFonts w:ascii="Times New Roman" w:hAnsi="Times New Roman"/>
          <w:sz w:val="16"/>
          <w:szCs w:val="16"/>
        </w:rPr>
      </w:pPr>
    </w:p>
    <w:p w:rsidR="009532B8" w:rsidRDefault="009532B8" w:rsidP="00A27343">
      <w:pPr>
        <w:pStyle w:val="af6"/>
        <w:ind w:left="720"/>
        <w:jc w:val="right"/>
        <w:rPr>
          <w:rFonts w:ascii="Times New Roman" w:hAnsi="Times New Roman"/>
          <w:sz w:val="16"/>
          <w:szCs w:val="16"/>
        </w:rPr>
      </w:pPr>
    </w:p>
    <w:p w:rsidR="007D45F4" w:rsidRDefault="007D45F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D45F4" w:rsidRPr="006D1540" w:rsidTr="00DE61C8">
        <w:tc>
          <w:tcPr>
            <w:tcW w:w="3794" w:type="dxa"/>
          </w:tcPr>
          <w:p w:rsidR="007D45F4" w:rsidRPr="006D1540" w:rsidRDefault="007D45F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D45F4" w:rsidRPr="006D1540" w:rsidRDefault="007D45F4" w:rsidP="009532B8">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9532B8">
              <w:rPr>
                <w:rFonts w:ascii="Times New Roman" w:hAnsi="Times New Roman" w:cs="Times New Roman"/>
              </w:rPr>
              <w:t>5</w:t>
            </w:r>
            <w:r>
              <w:rPr>
                <w:rFonts w:ascii="Times New Roman" w:hAnsi="Times New Roman" w:cs="Times New Roman"/>
              </w:rPr>
              <w:t>.12.2018г. №1</w:t>
            </w:r>
            <w:r w:rsidR="009532B8">
              <w:rPr>
                <w:rFonts w:ascii="Times New Roman" w:hAnsi="Times New Roman" w:cs="Times New Roman"/>
              </w:rPr>
              <w:t>6</w:t>
            </w:r>
            <w:r>
              <w:rPr>
                <w:rFonts w:ascii="Times New Roman" w:hAnsi="Times New Roman" w:cs="Times New Roman"/>
              </w:rPr>
              <w:t>/2-18</w:t>
            </w:r>
            <w:r w:rsidRPr="006D1540">
              <w:rPr>
                <w:rFonts w:ascii="Times New Roman" w:hAnsi="Times New Roman" w:cs="Times New Roman"/>
              </w:rPr>
              <w:t xml:space="preserve">) </w:t>
            </w:r>
          </w:p>
        </w:tc>
        <w:tc>
          <w:tcPr>
            <w:tcW w:w="1417"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D45F4" w:rsidRPr="006D1540" w:rsidRDefault="007D45F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01A59" w:rsidRPr="00D1766C" w:rsidTr="00DE61C8">
        <w:tc>
          <w:tcPr>
            <w:tcW w:w="3794" w:type="dxa"/>
            <w:vAlign w:val="bottom"/>
          </w:tcPr>
          <w:p w:rsidR="00F01A59" w:rsidRPr="00D1766C" w:rsidRDefault="00F01A59" w:rsidP="00340C68">
            <w:pPr>
              <w:pStyle w:val="af8"/>
              <w:spacing w:line="288" w:lineRule="auto"/>
              <w:ind w:firstLine="0"/>
              <w:jc w:val="left"/>
              <w:rPr>
                <w:sz w:val="22"/>
                <w:szCs w:val="22"/>
              </w:rPr>
            </w:pPr>
            <w:r w:rsidRPr="00D1766C">
              <w:rPr>
                <w:sz w:val="22"/>
                <w:szCs w:val="22"/>
              </w:rPr>
              <w:t>Общий объем доходов в т.ч.</w:t>
            </w:r>
          </w:p>
        </w:tc>
        <w:tc>
          <w:tcPr>
            <w:tcW w:w="2268" w:type="dxa"/>
          </w:tcPr>
          <w:p w:rsidR="00F01A59" w:rsidRPr="00D1766C" w:rsidRDefault="00F01A59" w:rsidP="00293466">
            <w:pPr>
              <w:pStyle w:val="af8"/>
              <w:spacing w:line="288" w:lineRule="auto"/>
              <w:ind w:firstLine="0"/>
              <w:jc w:val="center"/>
              <w:rPr>
                <w:sz w:val="22"/>
                <w:szCs w:val="22"/>
              </w:rPr>
            </w:pPr>
            <w:r w:rsidRPr="00D1766C">
              <w:rPr>
                <w:sz w:val="22"/>
                <w:szCs w:val="22"/>
              </w:rPr>
              <w:t>1645,2</w:t>
            </w:r>
          </w:p>
        </w:tc>
        <w:tc>
          <w:tcPr>
            <w:tcW w:w="1417" w:type="dxa"/>
          </w:tcPr>
          <w:p w:rsidR="00F01A59" w:rsidRPr="00D1766C" w:rsidRDefault="00D1766C" w:rsidP="00340C68">
            <w:pPr>
              <w:pStyle w:val="af8"/>
              <w:spacing w:line="288" w:lineRule="auto"/>
              <w:ind w:firstLine="0"/>
              <w:jc w:val="center"/>
              <w:rPr>
                <w:sz w:val="22"/>
                <w:szCs w:val="22"/>
              </w:rPr>
            </w:pPr>
            <w:r w:rsidRPr="00D1766C">
              <w:rPr>
                <w:sz w:val="22"/>
                <w:szCs w:val="22"/>
              </w:rPr>
              <w:t>1725,7</w:t>
            </w:r>
          </w:p>
        </w:tc>
        <w:tc>
          <w:tcPr>
            <w:tcW w:w="1373" w:type="dxa"/>
          </w:tcPr>
          <w:p w:rsidR="00F01A59" w:rsidRPr="00D1766C" w:rsidRDefault="00D1766C" w:rsidP="00340C68">
            <w:pPr>
              <w:pStyle w:val="af8"/>
              <w:spacing w:line="288" w:lineRule="auto"/>
              <w:ind w:firstLine="0"/>
              <w:jc w:val="center"/>
              <w:rPr>
                <w:sz w:val="22"/>
                <w:szCs w:val="22"/>
              </w:rPr>
            </w:pPr>
            <w:r w:rsidRPr="00D1766C">
              <w:rPr>
                <w:sz w:val="22"/>
                <w:szCs w:val="22"/>
              </w:rPr>
              <w:t>1768,3</w:t>
            </w:r>
          </w:p>
        </w:tc>
        <w:tc>
          <w:tcPr>
            <w:tcW w:w="1188" w:type="dxa"/>
          </w:tcPr>
          <w:p w:rsidR="00F01A59" w:rsidRPr="00D1766C" w:rsidRDefault="00D1766C" w:rsidP="00340C68">
            <w:pPr>
              <w:pStyle w:val="af8"/>
              <w:spacing w:line="288" w:lineRule="auto"/>
              <w:ind w:firstLine="0"/>
              <w:jc w:val="center"/>
              <w:rPr>
                <w:sz w:val="22"/>
                <w:szCs w:val="22"/>
              </w:rPr>
            </w:pPr>
            <w:r w:rsidRPr="00D1766C">
              <w:rPr>
                <w:sz w:val="22"/>
                <w:szCs w:val="22"/>
              </w:rPr>
              <w:t>1816,3</w:t>
            </w:r>
          </w:p>
        </w:tc>
      </w:tr>
      <w:tr w:rsidR="00F01A59" w:rsidRPr="00D1766C" w:rsidTr="00DE61C8">
        <w:tc>
          <w:tcPr>
            <w:tcW w:w="3794" w:type="dxa"/>
            <w:vAlign w:val="bottom"/>
          </w:tcPr>
          <w:p w:rsidR="00F01A59" w:rsidRPr="00D1766C" w:rsidRDefault="00F01A59" w:rsidP="00340C68">
            <w:pPr>
              <w:pStyle w:val="af8"/>
              <w:spacing w:line="288" w:lineRule="auto"/>
              <w:ind w:firstLine="0"/>
              <w:jc w:val="left"/>
              <w:rPr>
                <w:sz w:val="22"/>
                <w:szCs w:val="22"/>
              </w:rPr>
            </w:pPr>
            <w:r w:rsidRPr="00D1766C">
              <w:rPr>
                <w:sz w:val="22"/>
                <w:szCs w:val="22"/>
              </w:rPr>
              <w:t>Налоговые и неналоговые доходы</w:t>
            </w:r>
          </w:p>
        </w:tc>
        <w:tc>
          <w:tcPr>
            <w:tcW w:w="2268" w:type="dxa"/>
          </w:tcPr>
          <w:p w:rsidR="00F01A59" w:rsidRPr="00D1766C" w:rsidRDefault="00F01A59" w:rsidP="00293466">
            <w:pPr>
              <w:pStyle w:val="af8"/>
              <w:spacing w:line="288" w:lineRule="auto"/>
              <w:ind w:firstLine="0"/>
              <w:jc w:val="center"/>
              <w:rPr>
                <w:sz w:val="22"/>
                <w:szCs w:val="22"/>
              </w:rPr>
            </w:pPr>
            <w:r w:rsidRPr="00D1766C">
              <w:rPr>
                <w:sz w:val="22"/>
                <w:szCs w:val="22"/>
              </w:rPr>
              <w:t>746,0</w:t>
            </w:r>
          </w:p>
        </w:tc>
        <w:tc>
          <w:tcPr>
            <w:tcW w:w="1417" w:type="dxa"/>
          </w:tcPr>
          <w:p w:rsidR="00F01A59" w:rsidRPr="00D1766C" w:rsidRDefault="00D1766C" w:rsidP="00340C68">
            <w:pPr>
              <w:pStyle w:val="af8"/>
              <w:spacing w:line="288" w:lineRule="auto"/>
              <w:ind w:firstLine="0"/>
              <w:jc w:val="center"/>
              <w:rPr>
                <w:sz w:val="22"/>
                <w:szCs w:val="22"/>
              </w:rPr>
            </w:pPr>
            <w:r w:rsidRPr="00D1766C">
              <w:rPr>
                <w:sz w:val="22"/>
                <w:szCs w:val="22"/>
              </w:rPr>
              <w:t>635,0</w:t>
            </w:r>
          </w:p>
        </w:tc>
        <w:tc>
          <w:tcPr>
            <w:tcW w:w="1373" w:type="dxa"/>
          </w:tcPr>
          <w:p w:rsidR="00F01A59" w:rsidRPr="00D1766C" w:rsidRDefault="00D1766C" w:rsidP="00340C68">
            <w:pPr>
              <w:pStyle w:val="af8"/>
              <w:spacing w:line="288" w:lineRule="auto"/>
              <w:ind w:firstLine="0"/>
              <w:jc w:val="center"/>
              <w:rPr>
                <w:sz w:val="22"/>
                <w:szCs w:val="22"/>
              </w:rPr>
            </w:pPr>
            <w:r w:rsidRPr="00D1766C">
              <w:rPr>
                <w:sz w:val="22"/>
                <w:szCs w:val="22"/>
              </w:rPr>
              <w:t>577,0</w:t>
            </w:r>
          </w:p>
        </w:tc>
        <w:tc>
          <w:tcPr>
            <w:tcW w:w="1188" w:type="dxa"/>
          </w:tcPr>
          <w:p w:rsidR="00F01A59" w:rsidRPr="00D1766C" w:rsidRDefault="00D1766C" w:rsidP="00340C68">
            <w:pPr>
              <w:pStyle w:val="af8"/>
              <w:spacing w:line="288" w:lineRule="auto"/>
              <w:ind w:firstLine="0"/>
              <w:jc w:val="center"/>
              <w:rPr>
                <w:sz w:val="22"/>
                <w:szCs w:val="22"/>
              </w:rPr>
            </w:pPr>
            <w:r w:rsidRPr="00D1766C">
              <w:rPr>
                <w:sz w:val="22"/>
                <w:szCs w:val="22"/>
              </w:rPr>
              <w:t>582,0</w:t>
            </w:r>
          </w:p>
        </w:tc>
      </w:tr>
      <w:tr w:rsidR="00F01A59" w:rsidRPr="00D1766C" w:rsidTr="00DE61C8">
        <w:tc>
          <w:tcPr>
            <w:tcW w:w="3794" w:type="dxa"/>
            <w:vAlign w:val="bottom"/>
          </w:tcPr>
          <w:p w:rsidR="00F01A59" w:rsidRPr="00D1766C" w:rsidRDefault="00F01A59" w:rsidP="00340C68">
            <w:pPr>
              <w:pStyle w:val="af8"/>
              <w:spacing w:line="288" w:lineRule="auto"/>
              <w:ind w:firstLine="0"/>
              <w:jc w:val="left"/>
              <w:rPr>
                <w:sz w:val="22"/>
                <w:szCs w:val="22"/>
              </w:rPr>
            </w:pPr>
            <w:r w:rsidRPr="00D1766C">
              <w:rPr>
                <w:sz w:val="22"/>
                <w:szCs w:val="22"/>
              </w:rPr>
              <w:t>Безвозмездные поступления</w:t>
            </w:r>
          </w:p>
        </w:tc>
        <w:tc>
          <w:tcPr>
            <w:tcW w:w="2268" w:type="dxa"/>
          </w:tcPr>
          <w:p w:rsidR="00F01A59" w:rsidRPr="00D1766C" w:rsidRDefault="00F01A59" w:rsidP="00293466">
            <w:pPr>
              <w:pStyle w:val="af8"/>
              <w:spacing w:line="288" w:lineRule="auto"/>
              <w:ind w:firstLine="0"/>
              <w:jc w:val="center"/>
              <w:rPr>
                <w:sz w:val="22"/>
                <w:szCs w:val="22"/>
              </w:rPr>
            </w:pPr>
            <w:r w:rsidRPr="00D1766C">
              <w:rPr>
                <w:sz w:val="22"/>
                <w:szCs w:val="22"/>
              </w:rPr>
              <w:t>899,2</w:t>
            </w:r>
          </w:p>
        </w:tc>
        <w:tc>
          <w:tcPr>
            <w:tcW w:w="1417" w:type="dxa"/>
          </w:tcPr>
          <w:p w:rsidR="00F01A59" w:rsidRPr="00D1766C" w:rsidRDefault="00D1766C" w:rsidP="00340C68">
            <w:pPr>
              <w:pStyle w:val="af8"/>
              <w:spacing w:line="288" w:lineRule="auto"/>
              <w:ind w:firstLine="0"/>
              <w:jc w:val="center"/>
              <w:rPr>
                <w:sz w:val="22"/>
                <w:szCs w:val="22"/>
              </w:rPr>
            </w:pPr>
            <w:r w:rsidRPr="00D1766C">
              <w:rPr>
                <w:sz w:val="22"/>
                <w:szCs w:val="22"/>
              </w:rPr>
              <w:t>1090,7</w:t>
            </w:r>
          </w:p>
        </w:tc>
        <w:tc>
          <w:tcPr>
            <w:tcW w:w="1373" w:type="dxa"/>
          </w:tcPr>
          <w:p w:rsidR="00F01A59" w:rsidRPr="00D1766C" w:rsidRDefault="00D1766C" w:rsidP="00340C68">
            <w:pPr>
              <w:pStyle w:val="af8"/>
              <w:spacing w:line="288" w:lineRule="auto"/>
              <w:ind w:firstLine="0"/>
              <w:jc w:val="center"/>
              <w:rPr>
                <w:sz w:val="22"/>
                <w:szCs w:val="22"/>
              </w:rPr>
            </w:pPr>
            <w:r w:rsidRPr="00D1766C">
              <w:rPr>
                <w:sz w:val="22"/>
                <w:szCs w:val="22"/>
              </w:rPr>
              <w:t>1191,3</w:t>
            </w:r>
          </w:p>
        </w:tc>
        <w:tc>
          <w:tcPr>
            <w:tcW w:w="1188" w:type="dxa"/>
          </w:tcPr>
          <w:p w:rsidR="00F01A59" w:rsidRPr="00D1766C" w:rsidRDefault="00D1766C" w:rsidP="00CF3242">
            <w:pPr>
              <w:pStyle w:val="af8"/>
              <w:spacing w:line="288" w:lineRule="auto"/>
              <w:ind w:firstLine="0"/>
              <w:jc w:val="center"/>
              <w:rPr>
                <w:sz w:val="22"/>
                <w:szCs w:val="22"/>
              </w:rPr>
            </w:pPr>
            <w:r w:rsidRPr="00D1766C">
              <w:rPr>
                <w:sz w:val="22"/>
                <w:szCs w:val="22"/>
              </w:rPr>
              <w:t>1234,3</w:t>
            </w:r>
          </w:p>
        </w:tc>
      </w:tr>
      <w:tr w:rsidR="00F01A59" w:rsidRPr="00D1766C" w:rsidTr="00DE61C8">
        <w:tc>
          <w:tcPr>
            <w:tcW w:w="3794" w:type="dxa"/>
            <w:vAlign w:val="bottom"/>
          </w:tcPr>
          <w:p w:rsidR="00F01A59" w:rsidRPr="00D1766C" w:rsidRDefault="00F01A59" w:rsidP="00340C68">
            <w:pPr>
              <w:pStyle w:val="af8"/>
              <w:spacing w:line="288" w:lineRule="auto"/>
              <w:ind w:firstLine="0"/>
              <w:jc w:val="left"/>
              <w:rPr>
                <w:sz w:val="22"/>
                <w:szCs w:val="22"/>
              </w:rPr>
            </w:pPr>
            <w:r w:rsidRPr="00D1766C">
              <w:rPr>
                <w:sz w:val="22"/>
                <w:szCs w:val="22"/>
              </w:rPr>
              <w:t>Общий объем расходов,</w:t>
            </w:r>
          </w:p>
        </w:tc>
        <w:tc>
          <w:tcPr>
            <w:tcW w:w="2268" w:type="dxa"/>
          </w:tcPr>
          <w:p w:rsidR="00F01A59" w:rsidRPr="00D1766C" w:rsidRDefault="00F01A59" w:rsidP="00293466">
            <w:pPr>
              <w:pStyle w:val="af8"/>
              <w:spacing w:line="288" w:lineRule="auto"/>
              <w:ind w:firstLine="0"/>
              <w:jc w:val="center"/>
              <w:rPr>
                <w:sz w:val="22"/>
                <w:szCs w:val="22"/>
              </w:rPr>
            </w:pPr>
            <w:r w:rsidRPr="00D1766C">
              <w:rPr>
                <w:sz w:val="22"/>
                <w:szCs w:val="22"/>
              </w:rPr>
              <w:t>1645,2</w:t>
            </w:r>
          </w:p>
        </w:tc>
        <w:tc>
          <w:tcPr>
            <w:tcW w:w="1417" w:type="dxa"/>
          </w:tcPr>
          <w:p w:rsidR="00F01A59" w:rsidRPr="00D1766C" w:rsidRDefault="00D1766C" w:rsidP="00340C68">
            <w:pPr>
              <w:pStyle w:val="af8"/>
              <w:spacing w:line="288" w:lineRule="auto"/>
              <w:ind w:firstLine="0"/>
              <w:jc w:val="center"/>
              <w:rPr>
                <w:sz w:val="22"/>
                <w:szCs w:val="22"/>
              </w:rPr>
            </w:pPr>
            <w:r w:rsidRPr="00D1766C">
              <w:rPr>
                <w:sz w:val="22"/>
                <w:szCs w:val="22"/>
              </w:rPr>
              <w:t>1725,7</w:t>
            </w:r>
          </w:p>
        </w:tc>
        <w:tc>
          <w:tcPr>
            <w:tcW w:w="1373" w:type="dxa"/>
          </w:tcPr>
          <w:p w:rsidR="00F01A59" w:rsidRPr="00D1766C" w:rsidRDefault="00D1766C" w:rsidP="00340C68">
            <w:pPr>
              <w:pStyle w:val="af8"/>
              <w:spacing w:line="288" w:lineRule="auto"/>
              <w:ind w:firstLine="0"/>
              <w:jc w:val="center"/>
              <w:rPr>
                <w:sz w:val="22"/>
                <w:szCs w:val="22"/>
              </w:rPr>
            </w:pPr>
            <w:r w:rsidRPr="00D1766C">
              <w:rPr>
                <w:sz w:val="22"/>
                <w:szCs w:val="22"/>
              </w:rPr>
              <w:t>1768,3</w:t>
            </w:r>
          </w:p>
        </w:tc>
        <w:tc>
          <w:tcPr>
            <w:tcW w:w="1188" w:type="dxa"/>
          </w:tcPr>
          <w:p w:rsidR="00F01A59" w:rsidRPr="00D1766C" w:rsidRDefault="00D1766C" w:rsidP="00340C68">
            <w:pPr>
              <w:pStyle w:val="af8"/>
              <w:spacing w:line="288" w:lineRule="auto"/>
              <w:ind w:firstLine="0"/>
              <w:jc w:val="center"/>
              <w:rPr>
                <w:sz w:val="22"/>
                <w:szCs w:val="22"/>
              </w:rPr>
            </w:pPr>
            <w:r w:rsidRPr="00D1766C">
              <w:rPr>
                <w:sz w:val="22"/>
                <w:szCs w:val="22"/>
              </w:rPr>
              <w:t>1816,3</w:t>
            </w:r>
          </w:p>
        </w:tc>
      </w:tr>
      <w:tr w:rsidR="00F01A59" w:rsidRPr="00D1766C" w:rsidTr="00DE61C8">
        <w:tc>
          <w:tcPr>
            <w:tcW w:w="3794" w:type="dxa"/>
            <w:vAlign w:val="bottom"/>
          </w:tcPr>
          <w:p w:rsidR="00F01A59" w:rsidRPr="00D1766C" w:rsidRDefault="00F01A59" w:rsidP="002E2D5D">
            <w:pPr>
              <w:pStyle w:val="af8"/>
              <w:spacing w:line="240" w:lineRule="auto"/>
              <w:ind w:firstLine="0"/>
              <w:jc w:val="left"/>
              <w:rPr>
                <w:sz w:val="22"/>
                <w:szCs w:val="22"/>
              </w:rPr>
            </w:pPr>
            <w:r w:rsidRPr="00D1766C">
              <w:rPr>
                <w:sz w:val="22"/>
                <w:szCs w:val="22"/>
              </w:rPr>
              <w:t xml:space="preserve">Дефицит (-), профицит (+) бюджета </w:t>
            </w:r>
          </w:p>
        </w:tc>
        <w:tc>
          <w:tcPr>
            <w:tcW w:w="2268" w:type="dxa"/>
            <w:vAlign w:val="center"/>
          </w:tcPr>
          <w:p w:rsidR="00F01A59" w:rsidRPr="00D1766C" w:rsidRDefault="00F01A59" w:rsidP="00293466">
            <w:pPr>
              <w:pStyle w:val="af8"/>
              <w:spacing w:line="288" w:lineRule="auto"/>
              <w:ind w:firstLine="0"/>
              <w:jc w:val="center"/>
              <w:rPr>
                <w:sz w:val="22"/>
                <w:szCs w:val="22"/>
              </w:rPr>
            </w:pPr>
            <w:r w:rsidRPr="00D1766C">
              <w:rPr>
                <w:sz w:val="22"/>
                <w:szCs w:val="22"/>
              </w:rPr>
              <w:t>0</w:t>
            </w:r>
          </w:p>
        </w:tc>
        <w:tc>
          <w:tcPr>
            <w:tcW w:w="1417" w:type="dxa"/>
            <w:vAlign w:val="center"/>
          </w:tcPr>
          <w:p w:rsidR="00F01A59" w:rsidRPr="00D1766C" w:rsidRDefault="00F01A59" w:rsidP="00340C68">
            <w:pPr>
              <w:pStyle w:val="af8"/>
              <w:spacing w:line="288" w:lineRule="auto"/>
              <w:ind w:firstLine="0"/>
              <w:jc w:val="center"/>
              <w:rPr>
                <w:sz w:val="22"/>
                <w:szCs w:val="22"/>
              </w:rPr>
            </w:pPr>
            <w:r w:rsidRPr="00D1766C">
              <w:rPr>
                <w:sz w:val="22"/>
                <w:szCs w:val="22"/>
              </w:rPr>
              <w:t>0</w:t>
            </w:r>
          </w:p>
        </w:tc>
        <w:tc>
          <w:tcPr>
            <w:tcW w:w="1373" w:type="dxa"/>
            <w:vAlign w:val="center"/>
          </w:tcPr>
          <w:p w:rsidR="00F01A59" w:rsidRPr="00D1766C" w:rsidRDefault="00F01A59" w:rsidP="00340C68">
            <w:pPr>
              <w:pStyle w:val="af8"/>
              <w:spacing w:line="288" w:lineRule="auto"/>
              <w:ind w:firstLine="0"/>
              <w:jc w:val="center"/>
              <w:rPr>
                <w:sz w:val="22"/>
                <w:szCs w:val="22"/>
              </w:rPr>
            </w:pPr>
            <w:r w:rsidRPr="00D1766C">
              <w:rPr>
                <w:sz w:val="22"/>
                <w:szCs w:val="22"/>
              </w:rPr>
              <w:t>0</w:t>
            </w:r>
          </w:p>
        </w:tc>
        <w:tc>
          <w:tcPr>
            <w:tcW w:w="1188" w:type="dxa"/>
            <w:vAlign w:val="center"/>
          </w:tcPr>
          <w:p w:rsidR="00F01A59" w:rsidRPr="00D1766C" w:rsidRDefault="00F01A59" w:rsidP="00340C68">
            <w:pPr>
              <w:pStyle w:val="af8"/>
              <w:spacing w:line="288" w:lineRule="auto"/>
              <w:ind w:firstLine="0"/>
              <w:jc w:val="center"/>
              <w:rPr>
                <w:sz w:val="22"/>
                <w:szCs w:val="22"/>
              </w:rPr>
            </w:pPr>
            <w:r w:rsidRPr="00D1766C">
              <w:rPr>
                <w:sz w:val="22"/>
                <w:szCs w:val="22"/>
              </w:rPr>
              <w:t>0</w:t>
            </w:r>
          </w:p>
        </w:tc>
      </w:tr>
    </w:tbl>
    <w:p w:rsidR="007D45F4" w:rsidRPr="00DB4B0A" w:rsidRDefault="007D45F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sidR="00B4671D">
        <w:rPr>
          <w:sz w:val="26"/>
          <w:szCs w:val="26"/>
        </w:rPr>
        <w:t>Пинязьское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w:t>
      </w:r>
      <w:r w:rsidR="007A00DA">
        <w:rPr>
          <w:sz w:val="26"/>
          <w:szCs w:val="26"/>
        </w:rPr>
        <w:t>величением</w:t>
      </w:r>
      <w:r w:rsidRPr="00DB4B0A">
        <w:rPr>
          <w:sz w:val="26"/>
          <w:szCs w:val="26"/>
        </w:rPr>
        <w:t xml:space="preserve"> общего объема доходов и расходов бюджета муниципального образования «</w:t>
      </w:r>
      <w:r w:rsidR="00B4671D">
        <w:rPr>
          <w:sz w:val="26"/>
          <w:szCs w:val="26"/>
        </w:rPr>
        <w:t>Пинязьское</w:t>
      </w:r>
      <w:r w:rsidRPr="00DB4B0A">
        <w:rPr>
          <w:sz w:val="26"/>
          <w:szCs w:val="26"/>
        </w:rPr>
        <w:t>» в сравнении с первоначально утвержденным бюджетом муниципального образования «</w:t>
      </w:r>
      <w:r w:rsidR="00B4671D">
        <w:rPr>
          <w:sz w:val="26"/>
          <w:szCs w:val="26"/>
        </w:rPr>
        <w:t>Пинязьское</w:t>
      </w:r>
      <w:r w:rsidRPr="00DB4B0A">
        <w:rPr>
          <w:sz w:val="26"/>
          <w:szCs w:val="26"/>
        </w:rPr>
        <w:t>» на 201</w:t>
      </w:r>
      <w:r>
        <w:rPr>
          <w:sz w:val="26"/>
          <w:szCs w:val="26"/>
        </w:rPr>
        <w:t>9</w:t>
      </w:r>
      <w:r w:rsidRPr="00DB4B0A">
        <w:rPr>
          <w:sz w:val="26"/>
          <w:szCs w:val="26"/>
        </w:rPr>
        <w:t xml:space="preserve"> год. </w:t>
      </w:r>
    </w:p>
    <w:p w:rsidR="007D45F4" w:rsidRPr="00DB4B0A" w:rsidRDefault="007D45F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sidR="00B4671D">
        <w:rPr>
          <w:sz w:val="26"/>
          <w:szCs w:val="26"/>
        </w:rPr>
        <w:t>Пинязьское</w:t>
      </w:r>
      <w:r w:rsidRPr="00DB4B0A">
        <w:rPr>
          <w:sz w:val="26"/>
          <w:szCs w:val="26"/>
        </w:rPr>
        <w:t>»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sidR="007A00DA">
        <w:rPr>
          <w:sz w:val="26"/>
          <w:szCs w:val="26"/>
        </w:rPr>
        <w:t>63,20</w:t>
      </w:r>
      <w:r w:rsidRPr="00DB4B0A">
        <w:rPr>
          <w:sz w:val="26"/>
          <w:szCs w:val="26"/>
        </w:rPr>
        <w:t xml:space="preserve">%, налоговые и неналоговые доходы составляют </w:t>
      </w:r>
      <w:r w:rsidR="007A00DA">
        <w:rPr>
          <w:sz w:val="26"/>
          <w:szCs w:val="26"/>
        </w:rPr>
        <w:t>36,80</w:t>
      </w:r>
      <w:r w:rsidRPr="00DB4B0A">
        <w:rPr>
          <w:sz w:val="26"/>
          <w:szCs w:val="26"/>
        </w:rPr>
        <w:t xml:space="preserve">%. </w:t>
      </w:r>
    </w:p>
    <w:p w:rsidR="007D45F4" w:rsidRPr="00DB4B0A" w:rsidRDefault="007D45F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w:t>
      </w:r>
      <w:r w:rsidR="00B4671D">
        <w:rPr>
          <w:sz w:val="26"/>
          <w:szCs w:val="26"/>
        </w:rPr>
        <w:t>Пинязьское</w:t>
      </w:r>
      <w:r>
        <w:rPr>
          <w:sz w:val="26"/>
          <w:szCs w:val="26"/>
        </w:rPr>
        <w:t>»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D45F4" w:rsidRPr="00E67232" w:rsidRDefault="007D45F4" w:rsidP="007E1085">
      <w:pPr>
        <w:pStyle w:val="af3"/>
        <w:ind w:firstLine="720"/>
        <w:jc w:val="both"/>
        <w:rPr>
          <w:sz w:val="24"/>
          <w:szCs w:val="24"/>
        </w:rPr>
      </w:pPr>
    </w:p>
    <w:p w:rsidR="007D45F4" w:rsidRPr="00DB4B0A" w:rsidRDefault="007D45F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B4671D">
        <w:rPr>
          <w:sz w:val="26"/>
          <w:szCs w:val="26"/>
        </w:rPr>
        <w:t>Пинязьское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sidR="007A00DA">
        <w:rPr>
          <w:sz w:val="26"/>
          <w:szCs w:val="26"/>
        </w:rPr>
        <w:t>635,0</w:t>
      </w:r>
      <w:r w:rsidRPr="00DB4B0A">
        <w:rPr>
          <w:sz w:val="26"/>
          <w:szCs w:val="26"/>
        </w:rPr>
        <w:t xml:space="preserve"> тыс. рублей, что на </w:t>
      </w:r>
      <w:r w:rsidR="007A00DA">
        <w:rPr>
          <w:sz w:val="26"/>
          <w:szCs w:val="26"/>
        </w:rPr>
        <w:t>111,0</w:t>
      </w:r>
      <w:r>
        <w:rPr>
          <w:sz w:val="26"/>
          <w:szCs w:val="26"/>
        </w:rPr>
        <w:t xml:space="preserve"> тыс. рублей или </w:t>
      </w:r>
      <w:r w:rsidR="007A00DA">
        <w:rPr>
          <w:sz w:val="26"/>
          <w:szCs w:val="26"/>
        </w:rPr>
        <w:t>14,88</w:t>
      </w:r>
      <w:r w:rsidRPr="00DB4B0A">
        <w:rPr>
          <w:sz w:val="26"/>
          <w:szCs w:val="26"/>
        </w:rPr>
        <w:t xml:space="preserve">% </w:t>
      </w:r>
      <w:r w:rsidR="007A00DA">
        <w:rPr>
          <w:sz w:val="26"/>
          <w:szCs w:val="26"/>
        </w:rPr>
        <w:t xml:space="preserve">меньше </w:t>
      </w:r>
      <w:r w:rsidRPr="00DB4B0A">
        <w:rPr>
          <w:sz w:val="26"/>
          <w:szCs w:val="26"/>
        </w:rPr>
        <w:t>первоначально утвержденных налоговых доходов бюджета муниципального образования «</w:t>
      </w:r>
      <w:r w:rsidR="00B4671D">
        <w:rPr>
          <w:sz w:val="26"/>
          <w:szCs w:val="26"/>
        </w:rPr>
        <w:t>Пинязьское</w:t>
      </w:r>
      <w:r w:rsidRPr="00DB4B0A">
        <w:rPr>
          <w:sz w:val="26"/>
          <w:szCs w:val="26"/>
        </w:rPr>
        <w:t>» на 201</w:t>
      </w:r>
      <w:r>
        <w:rPr>
          <w:sz w:val="26"/>
          <w:szCs w:val="26"/>
        </w:rPr>
        <w:t>9</w:t>
      </w:r>
      <w:r w:rsidRPr="00DB4B0A">
        <w:rPr>
          <w:sz w:val="26"/>
          <w:szCs w:val="26"/>
        </w:rPr>
        <w:t xml:space="preserve"> год.</w:t>
      </w:r>
    </w:p>
    <w:p w:rsidR="007D45F4" w:rsidRDefault="007D45F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9532B8"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9532B8" w:rsidRPr="000331B4" w:rsidRDefault="009532B8"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9532B8" w:rsidRPr="006D1540" w:rsidRDefault="009532B8" w:rsidP="0029346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№16/2-18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9532B8" w:rsidRPr="006D1540" w:rsidRDefault="009532B8"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9532B8" w:rsidRPr="006D1540" w:rsidRDefault="009532B8"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9532B8" w:rsidRPr="006D1540" w:rsidRDefault="009532B8"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01A59" w:rsidRPr="005E7457" w:rsidTr="007A65CD">
        <w:trPr>
          <w:trHeight w:val="250"/>
        </w:trPr>
        <w:tc>
          <w:tcPr>
            <w:tcW w:w="3843" w:type="dxa"/>
            <w:tcBorders>
              <w:top w:val="nil"/>
              <w:left w:val="single" w:sz="4" w:space="0" w:color="auto"/>
              <w:bottom w:val="single" w:sz="4" w:space="0" w:color="auto"/>
              <w:right w:val="single" w:sz="4" w:space="0" w:color="auto"/>
            </w:tcBorders>
            <w:noWrap/>
          </w:tcPr>
          <w:p w:rsidR="00F01A59" w:rsidRPr="005E7457" w:rsidRDefault="00F01A59" w:rsidP="00F333A2">
            <w:pPr>
              <w:rPr>
                <w:bCs/>
              </w:rPr>
            </w:pPr>
            <w:r w:rsidRPr="005E7457">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F01A59" w:rsidRPr="007A00DA" w:rsidRDefault="00F01A59" w:rsidP="00293466">
            <w:pPr>
              <w:pStyle w:val="af8"/>
              <w:spacing w:line="288" w:lineRule="auto"/>
              <w:ind w:firstLine="0"/>
              <w:jc w:val="center"/>
            </w:pPr>
            <w:r w:rsidRPr="007A00DA">
              <w:t>120,0</w:t>
            </w:r>
          </w:p>
        </w:tc>
        <w:tc>
          <w:tcPr>
            <w:tcW w:w="1276" w:type="dxa"/>
            <w:tcBorders>
              <w:top w:val="nil"/>
              <w:left w:val="nil"/>
              <w:bottom w:val="single" w:sz="4" w:space="0" w:color="auto"/>
              <w:right w:val="single" w:sz="4" w:space="0" w:color="auto"/>
            </w:tcBorders>
          </w:tcPr>
          <w:p w:rsidR="00F01A59" w:rsidRPr="005E7457" w:rsidRDefault="007A00DA" w:rsidP="00FA587A">
            <w:pPr>
              <w:pStyle w:val="af8"/>
              <w:spacing w:line="288" w:lineRule="auto"/>
              <w:ind w:firstLine="0"/>
              <w:jc w:val="center"/>
            </w:pPr>
            <w:r>
              <w:t>133,0</w:t>
            </w:r>
          </w:p>
        </w:tc>
        <w:tc>
          <w:tcPr>
            <w:tcW w:w="1134" w:type="dxa"/>
            <w:tcBorders>
              <w:top w:val="nil"/>
              <w:left w:val="single" w:sz="4" w:space="0" w:color="auto"/>
              <w:bottom w:val="single" w:sz="4" w:space="0" w:color="auto"/>
              <w:right w:val="single" w:sz="4" w:space="0" w:color="auto"/>
            </w:tcBorders>
            <w:noWrap/>
          </w:tcPr>
          <w:p w:rsidR="00F01A59" w:rsidRPr="005E7457" w:rsidRDefault="007A00DA" w:rsidP="00FA587A">
            <w:pPr>
              <w:pStyle w:val="af8"/>
              <w:spacing w:line="288" w:lineRule="auto"/>
              <w:ind w:firstLine="0"/>
              <w:jc w:val="center"/>
            </w:pPr>
            <w:r>
              <w:t>123,0</w:t>
            </w:r>
          </w:p>
        </w:tc>
        <w:tc>
          <w:tcPr>
            <w:tcW w:w="1276" w:type="dxa"/>
            <w:tcBorders>
              <w:top w:val="nil"/>
              <w:left w:val="single" w:sz="4" w:space="0" w:color="auto"/>
              <w:bottom w:val="single" w:sz="4" w:space="0" w:color="auto"/>
              <w:right w:val="single" w:sz="4" w:space="0" w:color="auto"/>
            </w:tcBorders>
          </w:tcPr>
          <w:p w:rsidR="00F01A59" w:rsidRPr="005E7457" w:rsidRDefault="007A00DA" w:rsidP="00FA587A">
            <w:pPr>
              <w:pStyle w:val="af8"/>
              <w:spacing w:line="288" w:lineRule="auto"/>
              <w:ind w:firstLine="0"/>
              <w:jc w:val="center"/>
            </w:pPr>
            <w:r>
              <w:t>126,0</w:t>
            </w:r>
          </w:p>
        </w:tc>
      </w:tr>
      <w:tr w:rsidR="00F01A59" w:rsidRPr="005E7457" w:rsidTr="007A65CD">
        <w:trPr>
          <w:trHeight w:val="278"/>
        </w:trPr>
        <w:tc>
          <w:tcPr>
            <w:tcW w:w="3843" w:type="dxa"/>
            <w:tcBorders>
              <w:top w:val="nil"/>
              <w:left w:val="single" w:sz="4" w:space="0" w:color="auto"/>
              <w:bottom w:val="single" w:sz="4" w:space="0" w:color="auto"/>
              <w:right w:val="single" w:sz="4" w:space="0" w:color="auto"/>
            </w:tcBorders>
          </w:tcPr>
          <w:p w:rsidR="00F01A59" w:rsidRPr="005E7457" w:rsidRDefault="00F01A59" w:rsidP="00F333A2">
            <w:pPr>
              <w:rPr>
                <w:bCs/>
              </w:rPr>
            </w:pPr>
            <w:r w:rsidRPr="005E7457">
              <w:rPr>
                <w:bCs/>
                <w:sz w:val="22"/>
                <w:szCs w:val="22"/>
              </w:rPr>
              <w:t>Налоги на имущество</w:t>
            </w:r>
          </w:p>
        </w:tc>
        <w:tc>
          <w:tcPr>
            <w:tcW w:w="2409" w:type="dxa"/>
            <w:tcBorders>
              <w:top w:val="nil"/>
              <w:left w:val="nil"/>
              <w:bottom w:val="single" w:sz="4" w:space="0" w:color="auto"/>
              <w:right w:val="single" w:sz="4" w:space="0" w:color="auto"/>
            </w:tcBorders>
          </w:tcPr>
          <w:p w:rsidR="00F01A59" w:rsidRPr="007A00DA" w:rsidRDefault="00F01A59" w:rsidP="00293466">
            <w:pPr>
              <w:pStyle w:val="af8"/>
              <w:spacing w:line="288" w:lineRule="auto"/>
              <w:ind w:firstLine="0"/>
              <w:jc w:val="center"/>
            </w:pPr>
            <w:r w:rsidRPr="007A00DA">
              <w:t>45,0</w:t>
            </w:r>
          </w:p>
        </w:tc>
        <w:tc>
          <w:tcPr>
            <w:tcW w:w="1276" w:type="dxa"/>
            <w:tcBorders>
              <w:top w:val="nil"/>
              <w:left w:val="nil"/>
              <w:bottom w:val="single" w:sz="4" w:space="0" w:color="auto"/>
              <w:right w:val="single" w:sz="4" w:space="0" w:color="auto"/>
            </w:tcBorders>
          </w:tcPr>
          <w:p w:rsidR="00F01A59" w:rsidRPr="005E7457" w:rsidRDefault="007A00DA" w:rsidP="00FA587A">
            <w:pPr>
              <w:pStyle w:val="af8"/>
              <w:spacing w:line="288" w:lineRule="auto"/>
              <w:ind w:firstLine="0"/>
              <w:jc w:val="center"/>
            </w:pPr>
            <w:r>
              <w:t>25,0</w:t>
            </w:r>
          </w:p>
        </w:tc>
        <w:tc>
          <w:tcPr>
            <w:tcW w:w="1134" w:type="dxa"/>
            <w:tcBorders>
              <w:top w:val="nil"/>
              <w:left w:val="single" w:sz="4" w:space="0" w:color="auto"/>
              <w:bottom w:val="single" w:sz="4" w:space="0" w:color="auto"/>
              <w:right w:val="single" w:sz="4" w:space="0" w:color="auto"/>
            </w:tcBorders>
          </w:tcPr>
          <w:p w:rsidR="00F01A59" w:rsidRPr="005E7457" w:rsidRDefault="007A00DA" w:rsidP="00FA587A">
            <w:pPr>
              <w:pStyle w:val="af8"/>
              <w:spacing w:line="288" w:lineRule="auto"/>
              <w:ind w:firstLine="0"/>
              <w:jc w:val="center"/>
            </w:pPr>
            <w:r>
              <w:t>25,0</w:t>
            </w:r>
          </w:p>
        </w:tc>
        <w:tc>
          <w:tcPr>
            <w:tcW w:w="1276" w:type="dxa"/>
            <w:tcBorders>
              <w:top w:val="nil"/>
              <w:left w:val="single" w:sz="4" w:space="0" w:color="auto"/>
              <w:bottom w:val="single" w:sz="4" w:space="0" w:color="auto"/>
              <w:right w:val="single" w:sz="4" w:space="0" w:color="auto"/>
            </w:tcBorders>
          </w:tcPr>
          <w:p w:rsidR="00F01A59" w:rsidRPr="005E7457" w:rsidRDefault="007A00DA" w:rsidP="00FA587A">
            <w:pPr>
              <w:pStyle w:val="af8"/>
              <w:spacing w:line="288" w:lineRule="auto"/>
              <w:ind w:firstLine="0"/>
              <w:jc w:val="center"/>
            </w:pPr>
            <w:r>
              <w:t>25,0</w:t>
            </w:r>
          </w:p>
        </w:tc>
      </w:tr>
      <w:tr w:rsidR="00F01A59" w:rsidRPr="005E7457" w:rsidTr="007A65CD">
        <w:trPr>
          <w:trHeight w:val="285"/>
        </w:trPr>
        <w:tc>
          <w:tcPr>
            <w:tcW w:w="3843" w:type="dxa"/>
            <w:tcBorders>
              <w:top w:val="nil"/>
              <w:left w:val="single" w:sz="4" w:space="0" w:color="auto"/>
              <w:bottom w:val="single" w:sz="4" w:space="0" w:color="auto"/>
              <w:right w:val="single" w:sz="4" w:space="0" w:color="auto"/>
            </w:tcBorders>
            <w:noWrap/>
          </w:tcPr>
          <w:p w:rsidR="00F01A59" w:rsidRPr="005E7457" w:rsidRDefault="00F01A59" w:rsidP="00F333A2">
            <w:pPr>
              <w:rPr>
                <w:bCs/>
              </w:rPr>
            </w:pPr>
            <w:r w:rsidRPr="005E7457">
              <w:rPr>
                <w:bCs/>
                <w:sz w:val="22"/>
                <w:szCs w:val="22"/>
              </w:rPr>
              <w:t>Земельный налог</w:t>
            </w:r>
          </w:p>
        </w:tc>
        <w:tc>
          <w:tcPr>
            <w:tcW w:w="2409" w:type="dxa"/>
            <w:tcBorders>
              <w:top w:val="nil"/>
              <w:left w:val="nil"/>
              <w:bottom w:val="single" w:sz="4" w:space="0" w:color="auto"/>
              <w:right w:val="single" w:sz="4" w:space="0" w:color="auto"/>
            </w:tcBorders>
          </w:tcPr>
          <w:p w:rsidR="00F01A59" w:rsidRPr="007A00DA" w:rsidRDefault="00F01A59" w:rsidP="00293466">
            <w:pPr>
              <w:pStyle w:val="af8"/>
              <w:spacing w:line="288" w:lineRule="auto"/>
              <w:ind w:firstLine="0"/>
              <w:jc w:val="center"/>
            </w:pPr>
            <w:r w:rsidRPr="007A00DA">
              <w:t>581,0</w:t>
            </w:r>
          </w:p>
        </w:tc>
        <w:tc>
          <w:tcPr>
            <w:tcW w:w="1276" w:type="dxa"/>
            <w:tcBorders>
              <w:top w:val="nil"/>
              <w:left w:val="nil"/>
              <w:bottom w:val="single" w:sz="4" w:space="0" w:color="auto"/>
              <w:right w:val="single" w:sz="4" w:space="0" w:color="auto"/>
            </w:tcBorders>
          </w:tcPr>
          <w:p w:rsidR="00F01A59" w:rsidRPr="005E7457" w:rsidRDefault="007A00DA" w:rsidP="00FA587A">
            <w:pPr>
              <w:pStyle w:val="af8"/>
              <w:spacing w:line="288" w:lineRule="auto"/>
              <w:ind w:firstLine="0"/>
              <w:jc w:val="center"/>
            </w:pPr>
            <w:r>
              <w:t>477,0</w:t>
            </w:r>
          </w:p>
        </w:tc>
        <w:tc>
          <w:tcPr>
            <w:tcW w:w="1134" w:type="dxa"/>
            <w:tcBorders>
              <w:top w:val="nil"/>
              <w:left w:val="single" w:sz="4" w:space="0" w:color="auto"/>
              <w:bottom w:val="single" w:sz="4" w:space="0" w:color="auto"/>
              <w:right w:val="single" w:sz="4" w:space="0" w:color="auto"/>
            </w:tcBorders>
            <w:noWrap/>
          </w:tcPr>
          <w:p w:rsidR="00F01A59" w:rsidRPr="005E7457" w:rsidRDefault="007A00DA" w:rsidP="00FA587A">
            <w:pPr>
              <w:pStyle w:val="af8"/>
              <w:spacing w:line="288" w:lineRule="auto"/>
              <w:ind w:firstLine="0"/>
              <w:jc w:val="center"/>
            </w:pPr>
            <w:r>
              <w:t>429,0</w:t>
            </w:r>
          </w:p>
        </w:tc>
        <w:tc>
          <w:tcPr>
            <w:tcW w:w="1276" w:type="dxa"/>
            <w:tcBorders>
              <w:top w:val="nil"/>
              <w:left w:val="single" w:sz="4" w:space="0" w:color="auto"/>
              <w:bottom w:val="single" w:sz="4" w:space="0" w:color="auto"/>
              <w:right w:val="single" w:sz="4" w:space="0" w:color="auto"/>
            </w:tcBorders>
          </w:tcPr>
          <w:p w:rsidR="00F01A59" w:rsidRPr="005E7457" w:rsidRDefault="007A00DA" w:rsidP="00FA587A">
            <w:pPr>
              <w:pStyle w:val="af8"/>
              <w:spacing w:line="288" w:lineRule="auto"/>
              <w:ind w:firstLine="0"/>
              <w:jc w:val="center"/>
            </w:pPr>
            <w:r>
              <w:t>431,0</w:t>
            </w:r>
          </w:p>
        </w:tc>
      </w:tr>
      <w:tr w:rsidR="00F01A59"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F01A59" w:rsidRPr="005E7457" w:rsidRDefault="00F01A59" w:rsidP="00F333A2">
            <w:pPr>
              <w:rPr>
                <w:b/>
                <w:bCs/>
              </w:rPr>
            </w:pPr>
            <w:r w:rsidRPr="005E7457">
              <w:rPr>
                <w:b/>
                <w:bCs/>
                <w:sz w:val="22"/>
                <w:szCs w:val="22"/>
              </w:rPr>
              <w:t xml:space="preserve">ВСЕГО  </w:t>
            </w:r>
          </w:p>
        </w:tc>
        <w:tc>
          <w:tcPr>
            <w:tcW w:w="2409" w:type="dxa"/>
            <w:tcBorders>
              <w:top w:val="nil"/>
              <w:left w:val="nil"/>
              <w:bottom w:val="single" w:sz="4" w:space="0" w:color="auto"/>
              <w:right w:val="single" w:sz="4" w:space="0" w:color="auto"/>
            </w:tcBorders>
          </w:tcPr>
          <w:p w:rsidR="00F01A59" w:rsidRPr="007A00DA" w:rsidRDefault="00F01A59" w:rsidP="00293466">
            <w:pPr>
              <w:pStyle w:val="af8"/>
              <w:spacing w:line="288" w:lineRule="auto"/>
              <w:ind w:firstLine="0"/>
              <w:jc w:val="center"/>
            </w:pPr>
            <w:r w:rsidRPr="007A00DA">
              <w:t>746,0</w:t>
            </w:r>
          </w:p>
        </w:tc>
        <w:tc>
          <w:tcPr>
            <w:tcW w:w="1276" w:type="dxa"/>
            <w:tcBorders>
              <w:top w:val="nil"/>
              <w:left w:val="nil"/>
              <w:bottom w:val="single" w:sz="4" w:space="0" w:color="auto"/>
              <w:right w:val="single" w:sz="4" w:space="0" w:color="auto"/>
            </w:tcBorders>
          </w:tcPr>
          <w:p w:rsidR="00F01A59" w:rsidRPr="005E7457" w:rsidRDefault="007A00DA" w:rsidP="00FA587A">
            <w:pPr>
              <w:pStyle w:val="af8"/>
              <w:spacing w:line="288" w:lineRule="auto"/>
              <w:ind w:firstLine="0"/>
              <w:jc w:val="center"/>
            </w:pPr>
            <w:r>
              <w:t>635,0</w:t>
            </w:r>
          </w:p>
        </w:tc>
        <w:tc>
          <w:tcPr>
            <w:tcW w:w="1134" w:type="dxa"/>
            <w:tcBorders>
              <w:top w:val="nil"/>
              <w:left w:val="single" w:sz="4" w:space="0" w:color="auto"/>
              <w:bottom w:val="single" w:sz="4" w:space="0" w:color="auto"/>
              <w:right w:val="single" w:sz="4" w:space="0" w:color="auto"/>
            </w:tcBorders>
            <w:noWrap/>
          </w:tcPr>
          <w:p w:rsidR="00F01A59" w:rsidRPr="005E7457" w:rsidRDefault="007A00DA" w:rsidP="00FA587A">
            <w:pPr>
              <w:pStyle w:val="af8"/>
              <w:spacing w:line="288" w:lineRule="auto"/>
              <w:ind w:firstLine="0"/>
              <w:jc w:val="center"/>
            </w:pPr>
            <w:r>
              <w:t>577,0</w:t>
            </w:r>
          </w:p>
        </w:tc>
        <w:tc>
          <w:tcPr>
            <w:tcW w:w="1276" w:type="dxa"/>
            <w:tcBorders>
              <w:top w:val="nil"/>
              <w:left w:val="single" w:sz="4" w:space="0" w:color="auto"/>
              <w:bottom w:val="single" w:sz="4" w:space="0" w:color="auto"/>
              <w:right w:val="single" w:sz="4" w:space="0" w:color="auto"/>
            </w:tcBorders>
          </w:tcPr>
          <w:p w:rsidR="00F01A59" w:rsidRPr="005E7457" w:rsidRDefault="007A00DA" w:rsidP="00FA587A">
            <w:pPr>
              <w:pStyle w:val="af8"/>
              <w:spacing w:line="288" w:lineRule="auto"/>
              <w:ind w:firstLine="0"/>
              <w:jc w:val="center"/>
            </w:pPr>
            <w:r>
              <w:t>582,0</w:t>
            </w:r>
          </w:p>
        </w:tc>
      </w:tr>
    </w:tbl>
    <w:p w:rsidR="007D45F4" w:rsidRDefault="007D45F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sidR="00B4671D">
        <w:rPr>
          <w:sz w:val="26"/>
          <w:szCs w:val="26"/>
        </w:rPr>
        <w:t>Пинязьское</w:t>
      </w:r>
      <w:r w:rsidRPr="0007634E">
        <w:rPr>
          <w:sz w:val="26"/>
          <w:szCs w:val="26"/>
        </w:rPr>
        <w:t>» наибольший удельный вес занимает земельный налог.</w:t>
      </w:r>
    </w:p>
    <w:p w:rsidR="007D45F4" w:rsidRPr="0007634E" w:rsidRDefault="007D45F4" w:rsidP="00E6247E">
      <w:pPr>
        <w:pStyle w:val="af3"/>
        <w:ind w:firstLine="360"/>
        <w:jc w:val="both"/>
        <w:rPr>
          <w:sz w:val="26"/>
          <w:szCs w:val="26"/>
        </w:rPr>
      </w:pPr>
      <w:r>
        <w:rPr>
          <w:sz w:val="26"/>
          <w:szCs w:val="26"/>
        </w:rPr>
        <w:t xml:space="preserve">Рост поступлений в 2020 году относительно первоначально утвержденного бюджета на 2019 год прогнозируется по налогу на доходы физических лиц на </w:t>
      </w:r>
      <w:r w:rsidR="007A00DA">
        <w:rPr>
          <w:sz w:val="26"/>
          <w:szCs w:val="26"/>
        </w:rPr>
        <w:t>13</w:t>
      </w:r>
      <w:r>
        <w:rPr>
          <w:sz w:val="26"/>
          <w:szCs w:val="26"/>
        </w:rPr>
        <w:t xml:space="preserve">,0 тыс. рублей или на </w:t>
      </w:r>
      <w:r w:rsidR="007A00DA">
        <w:rPr>
          <w:sz w:val="26"/>
          <w:szCs w:val="26"/>
        </w:rPr>
        <w:t>10,83%.</w:t>
      </w:r>
    </w:p>
    <w:p w:rsidR="007D45F4" w:rsidRPr="0007634E" w:rsidRDefault="007D45F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налогу на </w:t>
      </w:r>
      <w:r>
        <w:rPr>
          <w:sz w:val="26"/>
          <w:szCs w:val="26"/>
        </w:rPr>
        <w:t>имущество</w:t>
      </w:r>
      <w:r w:rsidRPr="0007634E">
        <w:rPr>
          <w:sz w:val="26"/>
          <w:szCs w:val="26"/>
        </w:rPr>
        <w:t xml:space="preserve"> </w:t>
      </w:r>
      <w:r>
        <w:rPr>
          <w:sz w:val="26"/>
          <w:szCs w:val="26"/>
        </w:rPr>
        <w:t xml:space="preserve">на </w:t>
      </w:r>
      <w:r w:rsidR="007A00DA">
        <w:rPr>
          <w:sz w:val="26"/>
          <w:szCs w:val="26"/>
        </w:rPr>
        <w:t>20</w:t>
      </w:r>
      <w:r>
        <w:rPr>
          <w:sz w:val="26"/>
          <w:szCs w:val="26"/>
        </w:rPr>
        <w:t>,0</w:t>
      </w:r>
      <w:r w:rsidRPr="0007634E">
        <w:rPr>
          <w:sz w:val="26"/>
          <w:szCs w:val="26"/>
        </w:rPr>
        <w:t xml:space="preserve"> тыс. рублей или на </w:t>
      </w:r>
      <w:r w:rsidR="007A00DA">
        <w:rPr>
          <w:sz w:val="26"/>
          <w:szCs w:val="26"/>
        </w:rPr>
        <w:t>44,44%,</w:t>
      </w:r>
      <w:r w:rsidR="007A00DA" w:rsidRPr="007A00DA">
        <w:rPr>
          <w:sz w:val="26"/>
          <w:szCs w:val="26"/>
        </w:rPr>
        <w:t xml:space="preserve"> </w:t>
      </w:r>
      <w:r w:rsidR="007A00DA">
        <w:rPr>
          <w:sz w:val="26"/>
          <w:szCs w:val="26"/>
        </w:rPr>
        <w:t>по земельному налогу на 104,0 тыс. рублей или на 17,90%.</w:t>
      </w:r>
    </w:p>
    <w:p w:rsidR="007D45F4" w:rsidRPr="00E67232" w:rsidRDefault="007D45F4" w:rsidP="00145D6B">
      <w:pPr>
        <w:pStyle w:val="af3"/>
        <w:ind w:firstLine="360"/>
        <w:jc w:val="both"/>
        <w:rPr>
          <w:sz w:val="24"/>
          <w:szCs w:val="24"/>
        </w:rPr>
      </w:pPr>
    </w:p>
    <w:p w:rsidR="007D45F4" w:rsidRPr="0007634E" w:rsidRDefault="007D45F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sidR="007A00DA">
        <w:rPr>
          <w:sz w:val="26"/>
          <w:szCs w:val="26"/>
        </w:rPr>
        <w:t>1090,7</w:t>
      </w:r>
      <w:r w:rsidRPr="0007634E">
        <w:rPr>
          <w:sz w:val="26"/>
          <w:szCs w:val="26"/>
        </w:rPr>
        <w:t xml:space="preserve"> тыс. рублей, что на </w:t>
      </w:r>
      <w:r w:rsidR="007A00DA">
        <w:rPr>
          <w:sz w:val="26"/>
          <w:szCs w:val="26"/>
        </w:rPr>
        <w:t>191,5</w:t>
      </w:r>
      <w:r>
        <w:rPr>
          <w:sz w:val="26"/>
          <w:szCs w:val="26"/>
        </w:rPr>
        <w:t xml:space="preserve"> тыс. рублей или </w:t>
      </w:r>
      <w:r w:rsidR="007A00DA">
        <w:rPr>
          <w:sz w:val="26"/>
          <w:szCs w:val="26"/>
        </w:rPr>
        <w:t>21,30</w:t>
      </w:r>
      <w:r w:rsidRPr="0007634E">
        <w:rPr>
          <w:sz w:val="26"/>
          <w:szCs w:val="26"/>
        </w:rPr>
        <w:t xml:space="preserve">% </w:t>
      </w:r>
      <w:r w:rsidR="007A00DA">
        <w:rPr>
          <w:sz w:val="26"/>
          <w:szCs w:val="26"/>
        </w:rPr>
        <w:t>больше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9532B8"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9532B8" w:rsidRPr="00145D6B" w:rsidRDefault="009532B8"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9532B8" w:rsidRPr="006D1540" w:rsidRDefault="009532B8" w:rsidP="0029346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№16/2-18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9532B8" w:rsidRPr="00145D6B" w:rsidRDefault="009532B8" w:rsidP="00A97F94">
            <w:pPr>
              <w:jc w:val="center"/>
              <w:rPr>
                <w:bCs/>
                <w:sz w:val="18"/>
                <w:szCs w:val="18"/>
              </w:rPr>
            </w:pPr>
            <w:r w:rsidRPr="00145D6B">
              <w:rPr>
                <w:bCs/>
                <w:sz w:val="18"/>
                <w:szCs w:val="18"/>
              </w:rPr>
              <w:t>Проект бюджета на</w:t>
            </w:r>
          </w:p>
        </w:tc>
      </w:tr>
      <w:tr w:rsidR="007D45F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D45F4" w:rsidRPr="00441760" w:rsidRDefault="007D45F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D45F4" w:rsidRPr="00441760" w:rsidRDefault="007D45F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D45F4" w:rsidRPr="00441760" w:rsidRDefault="007D45F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D45F4" w:rsidRPr="00441760" w:rsidRDefault="007D45F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D45F4" w:rsidRPr="00441760" w:rsidRDefault="007D45F4" w:rsidP="00CD7BEF">
            <w:pPr>
              <w:jc w:val="center"/>
              <w:rPr>
                <w:color w:val="000000"/>
                <w:sz w:val="18"/>
                <w:szCs w:val="18"/>
              </w:rPr>
            </w:pPr>
            <w:r w:rsidRPr="00441760">
              <w:rPr>
                <w:color w:val="000000"/>
                <w:sz w:val="18"/>
                <w:szCs w:val="18"/>
              </w:rPr>
              <w:t>20</w:t>
            </w:r>
            <w:r>
              <w:rPr>
                <w:color w:val="000000"/>
                <w:sz w:val="18"/>
                <w:szCs w:val="18"/>
              </w:rPr>
              <w:t>22 год</w:t>
            </w:r>
          </w:p>
        </w:tc>
      </w:tr>
      <w:tr w:rsidR="00F01A59"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F01A59" w:rsidRPr="00706EC8" w:rsidRDefault="00F01A59"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F01A59" w:rsidRPr="00706EC8" w:rsidRDefault="00F01A59" w:rsidP="00293466">
            <w:pPr>
              <w:jc w:val="center"/>
              <w:rPr>
                <w:bCs/>
                <w:sz w:val="20"/>
                <w:szCs w:val="20"/>
              </w:rPr>
            </w:pPr>
            <w:r>
              <w:rPr>
                <w:bCs/>
                <w:sz w:val="20"/>
                <w:szCs w:val="20"/>
              </w:rPr>
              <w:t>462,7</w:t>
            </w:r>
          </w:p>
        </w:tc>
        <w:tc>
          <w:tcPr>
            <w:tcW w:w="1559" w:type="dxa"/>
            <w:tcBorders>
              <w:top w:val="single" w:sz="4" w:space="0" w:color="auto"/>
              <w:left w:val="single" w:sz="4" w:space="0" w:color="auto"/>
              <w:bottom w:val="single" w:sz="4" w:space="0" w:color="auto"/>
              <w:right w:val="single" w:sz="4" w:space="0" w:color="auto"/>
            </w:tcBorders>
            <w:noWrap/>
            <w:vAlign w:val="center"/>
          </w:tcPr>
          <w:p w:rsidR="00F01A59" w:rsidRPr="00706EC8" w:rsidRDefault="007A00DA" w:rsidP="00A97F94">
            <w:pPr>
              <w:jc w:val="center"/>
              <w:rPr>
                <w:bCs/>
                <w:sz w:val="20"/>
                <w:szCs w:val="20"/>
              </w:rPr>
            </w:pPr>
            <w:r>
              <w:rPr>
                <w:bCs/>
                <w:sz w:val="20"/>
                <w:szCs w:val="20"/>
              </w:rPr>
              <w:t>668,7</w:t>
            </w:r>
          </w:p>
        </w:tc>
        <w:tc>
          <w:tcPr>
            <w:tcW w:w="1417" w:type="dxa"/>
            <w:tcBorders>
              <w:top w:val="single" w:sz="4" w:space="0" w:color="auto"/>
              <w:left w:val="nil"/>
              <w:bottom w:val="single" w:sz="4" w:space="0" w:color="auto"/>
              <w:right w:val="single" w:sz="4" w:space="0" w:color="auto"/>
            </w:tcBorders>
            <w:noWrap/>
            <w:vAlign w:val="center"/>
          </w:tcPr>
          <w:p w:rsidR="00F01A59" w:rsidRPr="00706EC8" w:rsidRDefault="007A00DA" w:rsidP="00A97F94">
            <w:pPr>
              <w:jc w:val="center"/>
              <w:rPr>
                <w:bCs/>
                <w:sz w:val="20"/>
                <w:szCs w:val="20"/>
              </w:rPr>
            </w:pPr>
            <w:r>
              <w:rPr>
                <w:bCs/>
                <w:sz w:val="20"/>
                <w:szCs w:val="20"/>
              </w:rPr>
              <w:t>768,7</w:t>
            </w:r>
          </w:p>
        </w:tc>
        <w:tc>
          <w:tcPr>
            <w:tcW w:w="1134" w:type="dxa"/>
            <w:tcBorders>
              <w:top w:val="single" w:sz="4" w:space="0" w:color="auto"/>
              <w:left w:val="nil"/>
              <w:bottom w:val="single" w:sz="4" w:space="0" w:color="auto"/>
              <w:right w:val="single" w:sz="4" w:space="0" w:color="auto"/>
            </w:tcBorders>
            <w:vAlign w:val="center"/>
          </w:tcPr>
          <w:p w:rsidR="00F01A59" w:rsidRPr="00706EC8" w:rsidRDefault="007A00DA" w:rsidP="00F37770">
            <w:pPr>
              <w:jc w:val="center"/>
              <w:rPr>
                <w:bCs/>
                <w:sz w:val="20"/>
                <w:szCs w:val="20"/>
              </w:rPr>
            </w:pPr>
            <w:r>
              <w:rPr>
                <w:bCs/>
                <w:sz w:val="20"/>
                <w:szCs w:val="20"/>
              </w:rPr>
              <w:t>808,7</w:t>
            </w:r>
          </w:p>
        </w:tc>
      </w:tr>
      <w:tr w:rsidR="00F01A59"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F01A59" w:rsidRPr="00E6247E" w:rsidRDefault="00F01A59" w:rsidP="00A97F94">
            <w:pPr>
              <w:rPr>
                <w:bCs/>
                <w:sz w:val="20"/>
                <w:szCs w:val="20"/>
              </w:rPr>
            </w:pPr>
            <w:r>
              <w:rPr>
                <w:bCs/>
                <w:sz w:val="20"/>
                <w:szCs w:val="20"/>
              </w:rPr>
              <w:t xml:space="preserve">Субвенции по расчету и предоставлению </w:t>
            </w:r>
            <w:r>
              <w:rPr>
                <w:bCs/>
                <w:sz w:val="20"/>
                <w:szCs w:val="20"/>
              </w:rPr>
              <w:lastRenderedPageBreak/>
              <w:t>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lastRenderedPageBreak/>
              <w:t>32,8</w:t>
            </w:r>
          </w:p>
        </w:tc>
        <w:tc>
          <w:tcPr>
            <w:tcW w:w="1559" w:type="dxa"/>
            <w:tcBorders>
              <w:top w:val="nil"/>
              <w:left w:val="single" w:sz="4" w:space="0" w:color="auto"/>
              <w:bottom w:val="single" w:sz="4" w:space="0" w:color="auto"/>
              <w:right w:val="single" w:sz="4" w:space="0" w:color="auto"/>
            </w:tcBorders>
            <w:noWrap/>
            <w:vAlign w:val="center"/>
          </w:tcPr>
          <w:p w:rsidR="00F01A59" w:rsidRPr="00E6247E" w:rsidRDefault="007A00DA" w:rsidP="00A97F94">
            <w:pPr>
              <w:jc w:val="center"/>
              <w:rPr>
                <w:bCs/>
                <w:sz w:val="20"/>
                <w:szCs w:val="20"/>
              </w:rPr>
            </w:pPr>
            <w:r>
              <w:rPr>
                <w:bCs/>
                <w:sz w:val="20"/>
                <w:szCs w:val="20"/>
              </w:rPr>
              <w:t>34,2</w:t>
            </w:r>
          </w:p>
        </w:tc>
        <w:tc>
          <w:tcPr>
            <w:tcW w:w="1417" w:type="dxa"/>
            <w:tcBorders>
              <w:top w:val="nil"/>
              <w:left w:val="nil"/>
              <w:bottom w:val="single" w:sz="4" w:space="0" w:color="auto"/>
              <w:right w:val="single" w:sz="4" w:space="0" w:color="auto"/>
            </w:tcBorders>
            <w:noWrap/>
            <w:vAlign w:val="center"/>
          </w:tcPr>
          <w:p w:rsidR="00F01A59" w:rsidRPr="00E6247E" w:rsidRDefault="007A00DA" w:rsidP="00A97F94">
            <w:pPr>
              <w:jc w:val="center"/>
              <w:rPr>
                <w:bCs/>
                <w:sz w:val="20"/>
                <w:szCs w:val="20"/>
              </w:rPr>
            </w:pPr>
            <w:r>
              <w:rPr>
                <w:bCs/>
                <w:sz w:val="20"/>
                <w:szCs w:val="20"/>
              </w:rPr>
              <w:t>34,2</w:t>
            </w:r>
          </w:p>
        </w:tc>
        <w:tc>
          <w:tcPr>
            <w:tcW w:w="1134" w:type="dxa"/>
            <w:tcBorders>
              <w:top w:val="nil"/>
              <w:left w:val="nil"/>
              <w:bottom w:val="single" w:sz="4" w:space="0" w:color="auto"/>
              <w:right w:val="single" w:sz="4" w:space="0" w:color="auto"/>
            </w:tcBorders>
            <w:vAlign w:val="center"/>
          </w:tcPr>
          <w:p w:rsidR="00F01A59" w:rsidRPr="00E6247E" w:rsidRDefault="007A00DA" w:rsidP="00A97F94">
            <w:pPr>
              <w:jc w:val="center"/>
              <w:rPr>
                <w:bCs/>
                <w:sz w:val="20"/>
                <w:szCs w:val="20"/>
              </w:rPr>
            </w:pPr>
            <w:r>
              <w:rPr>
                <w:bCs/>
                <w:sz w:val="20"/>
                <w:szCs w:val="20"/>
              </w:rPr>
              <w:t>34,2</w:t>
            </w:r>
          </w:p>
        </w:tc>
      </w:tr>
      <w:tr w:rsidR="00F01A59" w:rsidRPr="00E6247E" w:rsidTr="00661AF6">
        <w:trPr>
          <w:trHeight w:val="278"/>
        </w:trPr>
        <w:tc>
          <w:tcPr>
            <w:tcW w:w="3984" w:type="dxa"/>
            <w:tcBorders>
              <w:top w:val="nil"/>
              <w:left w:val="single" w:sz="4" w:space="0" w:color="auto"/>
              <w:bottom w:val="single" w:sz="4" w:space="0" w:color="auto"/>
              <w:right w:val="single" w:sz="4" w:space="0" w:color="auto"/>
            </w:tcBorders>
          </w:tcPr>
          <w:p w:rsidR="00F01A59" w:rsidRPr="00E6247E" w:rsidRDefault="00F01A59"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t>90,5</w:t>
            </w:r>
          </w:p>
        </w:tc>
        <w:tc>
          <w:tcPr>
            <w:tcW w:w="1559" w:type="dxa"/>
            <w:tcBorders>
              <w:top w:val="nil"/>
              <w:left w:val="single" w:sz="4" w:space="0" w:color="auto"/>
              <w:bottom w:val="single" w:sz="4" w:space="0" w:color="auto"/>
              <w:right w:val="single" w:sz="4" w:space="0" w:color="auto"/>
            </w:tcBorders>
            <w:vAlign w:val="center"/>
          </w:tcPr>
          <w:p w:rsidR="00F01A59" w:rsidRPr="00E6247E" w:rsidRDefault="007A00DA"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F01A59" w:rsidRPr="00E6247E" w:rsidRDefault="007A00DA"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F01A59" w:rsidRPr="00E6247E" w:rsidRDefault="007A00DA" w:rsidP="00A97F94">
            <w:pPr>
              <w:jc w:val="center"/>
              <w:rPr>
                <w:bCs/>
                <w:sz w:val="20"/>
                <w:szCs w:val="20"/>
              </w:rPr>
            </w:pPr>
            <w:r>
              <w:rPr>
                <w:bCs/>
                <w:sz w:val="20"/>
                <w:szCs w:val="20"/>
              </w:rPr>
              <w:t>95,4</w:t>
            </w:r>
          </w:p>
        </w:tc>
      </w:tr>
      <w:tr w:rsidR="00F01A59"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F01A59" w:rsidRPr="00E6247E" w:rsidRDefault="00F01A59"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t>313,2</w:t>
            </w:r>
          </w:p>
        </w:tc>
        <w:tc>
          <w:tcPr>
            <w:tcW w:w="1559" w:type="dxa"/>
            <w:tcBorders>
              <w:top w:val="nil"/>
              <w:left w:val="single" w:sz="4" w:space="0" w:color="auto"/>
              <w:bottom w:val="single" w:sz="4" w:space="0" w:color="auto"/>
              <w:right w:val="single" w:sz="4" w:space="0" w:color="auto"/>
            </w:tcBorders>
            <w:noWrap/>
            <w:vAlign w:val="center"/>
          </w:tcPr>
          <w:p w:rsidR="00F01A59" w:rsidRPr="00E6247E" w:rsidRDefault="007A00DA" w:rsidP="00A97F94">
            <w:pPr>
              <w:jc w:val="center"/>
              <w:rPr>
                <w:bCs/>
                <w:sz w:val="20"/>
                <w:szCs w:val="20"/>
              </w:rPr>
            </w:pPr>
            <w:r>
              <w:rPr>
                <w:bCs/>
                <w:sz w:val="20"/>
                <w:szCs w:val="20"/>
              </w:rPr>
              <w:t>296,0</w:t>
            </w:r>
          </w:p>
        </w:tc>
        <w:tc>
          <w:tcPr>
            <w:tcW w:w="1417" w:type="dxa"/>
            <w:tcBorders>
              <w:top w:val="nil"/>
              <w:left w:val="nil"/>
              <w:bottom w:val="single" w:sz="4" w:space="0" w:color="auto"/>
              <w:right w:val="single" w:sz="4" w:space="0" w:color="auto"/>
            </w:tcBorders>
            <w:noWrap/>
            <w:vAlign w:val="center"/>
          </w:tcPr>
          <w:p w:rsidR="00F01A59" w:rsidRPr="00E6247E" w:rsidRDefault="007A00DA" w:rsidP="00A97F94">
            <w:pPr>
              <w:jc w:val="center"/>
              <w:rPr>
                <w:bCs/>
                <w:sz w:val="20"/>
                <w:szCs w:val="20"/>
              </w:rPr>
            </w:pPr>
            <w:r>
              <w:rPr>
                <w:bCs/>
                <w:sz w:val="20"/>
                <w:szCs w:val="20"/>
              </w:rPr>
              <w:t>296,0</w:t>
            </w:r>
          </w:p>
        </w:tc>
        <w:tc>
          <w:tcPr>
            <w:tcW w:w="1134" w:type="dxa"/>
            <w:tcBorders>
              <w:top w:val="nil"/>
              <w:left w:val="nil"/>
              <w:bottom w:val="single" w:sz="4" w:space="0" w:color="auto"/>
              <w:right w:val="single" w:sz="4" w:space="0" w:color="auto"/>
            </w:tcBorders>
            <w:vAlign w:val="center"/>
          </w:tcPr>
          <w:p w:rsidR="00F01A59" w:rsidRPr="00E6247E" w:rsidRDefault="007A00DA" w:rsidP="00A97F94">
            <w:pPr>
              <w:jc w:val="center"/>
              <w:rPr>
                <w:bCs/>
                <w:sz w:val="20"/>
                <w:szCs w:val="20"/>
              </w:rPr>
            </w:pPr>
            <w:r>
              <w:rPr>
                <w:bCs/>
                <w:sz w:val="20"/>
                <w:szCs w:val="20"/>
              </w:rPr>
              <w:t>296,0</w:t>
            </w:r>
          </w:p>
        </w:tc>
      </w:tr>
      <w:tr w:rsidR="00F01A59"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F01A59" w:rsidRPr="00E6247E" w:rsidRDefault="00F01A59"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F01A59" w:rsidRPr="00E6247E" w:rsidRDefault="00F01A59" w:rsidP="00293466">
            <w:pPr>
              <w:jc w:val="center"/>
              <w:rPr>
                <w:b/>
                <w:bCs/>
                <w:sz w:val="20"/>
                <w:szCs w:val="20"/>
              </w:rPr>
            </w:pPr>
            <w:r>
              <w:rPr>
                <w:b/>
                <w:bCs/>
                <w:sz w:val="20"/>
                <w:szCs w:val="20"/>
              </w:rPr>
              <w:t>899,2</w:t>
            </w:r>
            <w:r w:rsidR="007A00DA">
              <w:rPr>
                <w:b/>
                <w:bCs/>
                <w:sz w:val="20"/>
                <w:szCs w:val="20"/>
              </w:rPr>
              <w:t>0</w:t>
            </w:r>
          </w:p>
        </w:tc>
        <w:tc>
          <w:tcPr>
            <w:tcW w:w="1559" w:type="dxa"/>
            <w:tcBorders>
              <w:top w:val="nil"/>
              <w:left w:val="single" w:sz="4" w:space="0" w:color="auto"/>
              <w:bottom w:val="single" w:sz="4" w:space="0" w:color="auto"/>
              <w:right w:val="single" w:sz="4" w:space="0" w:color="auto"/>
            </w:tcBorders>
            <w:noWrap/>
            <w:vAlign w:val="center"/>
          </w:tcPr>
          <w:p w:rsidR="00F01A59" w:rsidRPr="00E6247E" w:rsidRDefault="007A00DA" w:rsidP="00A97F94">
            <w:pPr>
              <w:jc w:val="center"/>
              <w:rPr>
                <w:b/>
                <w:bCs/>
                <w:sz w:val="20"/>
                <w:szCs w:val="20"/>
              </w:rPr>
            </w:pPr>
            <w:r>
              <w:rPr>
                <w:b/>
                <w:bCs/>
                <w:sz w:val="20"/>
                <w:szCs w:val="20"/>
              </w:rPr>
              <w:t>1090,70</w:t>
            </w:r>
          </w:p>
        </w:tc>
        <w:tc>
          <w:tcPr>
            <w:tcW w:w="1417" w:type="dxa"/>
            <w:tcBorders>
              <w:top w:val="nil"/>
              <w:left w:val="nil"/>
              <w:bottom w:val="single" w:sz="4" w:space="0" w:color="auto"/>
              <w:right w:val="single" w:sz="4" w:space="0" w:color="auto"/>
            </w:tcBorders>
            <w:noWrap/>
            <w:vAlign w:val="center"/>
          </w:tcPr>
          <w:p w:rsidR="00F01A59" w:rsidRPr="00E6247E" w:rsidRDefault="007A00DA" w:rsidP="00A97F94">
            <w:pPr>
              <w:jc w:val="center"/>
              <w:rPr>
                <w:b/>
                <w:bCs/>
                <w:sz w:val="20"/>
                <w:szCs w:val="20"/>
              </w:rPr>
            </w:pPr>
            <w:r>
              <w:rPr>
                <w:b/>
                <w:bCs/>
                <w:sz w:val="20"/>
                <w:szCs w:val="20"/>
              </w:rPr>
              <w:t>1191,30</w:t>
            </w:r>
          </w:p>
        </w:tc>
        <w:tc>
          <w:tcPr>
            <w:tcW w:w="1134" w:type="dxa"/>
            <w:tcBorders>
              <w:top w:val="nil"/>
              <w:left w:val="nil"/>
              <w:bottom w:val="single" w:sz="4" w:space="0" w:color="auto"/>
              <w:right w:val="single" w:sz="4" w:space="0" w:color="auto"/>
            </w:tcBorders>
            <w:vAlign w:val="center"/>
          </w:tcPr>
          <w:p w:rsidR="00F01A59" w:rsidRPr="00E6247E" w:rsidRDefault="007A00DA" w:rsidP="00366831">
            <w:pPr>
              <w:jc w:val="center"/>
              <w:rPr>
                <w:b/>
                <w:bCs/>
                <w:sz w:val="20"/>
                <w:szCs w:val="20"/>
              </w:rPr>
            </w:pPr>
            <w:r>
              <w:rPr>
                <w:b/>
                <w:bCs/>
                <w:sz w:val="20"/>
                <w:szCs w:val="20"/>
              </w:rPr>
              <w:t>1234,30</w:t>
            </w:r>
          </w:p>
        </w:tc>
      </w:tr>
    </w:tbl>
    <w:p w:rsidR="007D45F4" w:rsidRPr="00B87AB2" w:rsidRDefault="007D45F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D45F4" w:rsidRPr="00B87AB2" w:rsidRDefault="007D45F4" w:rsidP="00520628">
      <w:pPr>
        <w:jc w:val="both"/>
        <w:rPr>
          <w:sz w:val="26"/>
          <w:szCs w:val="26"/>
        </w:rPr>
      </w:pPr>
      <w:r w:rsidRPr="00B87AB2">
        <w:rPr>
          <w:sz w:val="26"/>
          <w:szCs w:val="26"/>
        </w:rPr>
        <w:t xml:space="preserve">         В структуре безвозмездных поступлений на 20</w:t>
      </w:r>
      <w:r>
        <w:rPr>
          <w:sz w:val="26"/>
          <w:szCs w:val="26"/>
        </w:rPr>
        <w:t xml:space="preserve">20 год </w:t>
      </w:r>
      <w:r w:rsidRPr="00B87AB2">
        <w:rPr>
          <w:sz w:val="26"/>
          <w:szCs w:val="26"/>
        </w:rPr>
        <w:t xml:space="preserve">на долю дотации бюджетам сельских поселений на выравнивание бюджетной обеспеченности  приходится </w:t>
      </w:r>
      <w:r w:rsidR="007A00DA">
        <w:rPr>
          <w:sz w:val="26"/>
          <w:szCs w:val="26"/>
        </w:rPr>
        <w:t>61,31</w:t>
      </w:r>
      <w:r w:rsidRPr="00B87AB2">
        <w:rPr>
          <w:sz w:val="26"/>
          <w:szCs w:val="26"/>
        </w:rPr>
        <w:t>%.</w:t>
      </w:r>
    </w:p>
    <w:p w:rsidR="007D45F4" w:rsidRPr="00E67232" w:rsidRDefault="007D45F4" w:rsidP="00220E1D">
      <w:pPr>
        <w:pStyle w:val="af3"/>
        <w:ind w:firstLine="720"/>
        <w:jc w:val="both"/>
        <w:rPr>
          <w:sz w:val="24"/>
          <w:szCs w:val="24"/>
        </w:rPr>
      </w:pPr>
    </w:p>
    <w:p w:rsidR="007D45F4" w:rsidRPr="00162191" w:rsidRDefault="007D45F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B4671D">
        <w:rPr>
          <w:sz w:val="26"/>
          <w:szCs w:val="26"/>
        </w:rPr>
        <w:t>Пинязьское</w:t>
      </w:r>
      <w:r w:rsidRPr="00162191">
        <w:rPr>
          <w:sz w:val="26"/>
          <w:szCs w:val="26"/>
        </w:rPr>
        <w:t>» на 20</w:t>
      </w:r>
      <w:r>
        <w:rPr>
          <w:sz w:val="26"/>
          <w:szCs w:val="26"/>
        </w:rPr>
        <w:t>20</w:t>
      </w:r>
      <w:r w:rsidRPr="00162191">
        <w:rPr>
          <w:sz w:val="26"/>
          <w:szCs w:val="26"/>
        </w:rPr>
        <w:t xml:space="preserve"> год прогнозируется в сумме </w:t>
      </w:r>
      <w:r w:rsidR="00F1774E">
        <w:rPr>
          <w:sz w:val="26"/>
          <w:szCs w:val="26"/>
        </w:rPr>
        <w:t>1725,7</w:t>
      </w:r>
      <w:r w:rsidRPr="00162191">
        <w:rPr>
          <w:sz w:val="26"/>
          <w:szCs w:val="26"/>
        </w:rPr>
        <w:t xml:space="preserve"> тыс. рублей, что </w:t>
      </w:r>
      <w:r w:rsidR="00F1774E">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sidR="00F1774E">
        <w:rPr>
          <w:sz w:val="26"/>
          <w:szCs w:val="26"/>
        </w:rPr>
        <w:t>80,5</w:t>
      </w:r>
      <w:r w:rsidRPr="00162191">
        <w:rPr>
          <w:sz w:val="26"/>
          <w:szCs w:val="26"/>
        </w:rPr>
        <w:t xml:space="preserve"> тыс. рублей или на </w:t>
      </w:r>
      <w:r w:rsidR="00F1774E">
        <w:rPr>
          <w:sz w:val="26"/>
          <w:szCs w:val="26"/>
        </w:rPr>
        <w:t>4,89</w:t>
      </w:r>
      <w:r w:rsidRPr="00162191">
        <w:rPr>
          <w:sz w:val="26"/>
          <w:szCs w:val="26"/>
        </w:rPr>
        <w:t>%.</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9532B8"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9532B8" w:rsidRPr="00145D6B" w:rsidRDefault="009532B8"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9532B8" w:rsidRPr="006D1540" w:rsidRDefault="009532B8" w:rsidP="0029346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№16/2-18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9532B8" w:rsidRPr="00145D6B" w:rsidRDefault="009532B8" w:rsidP="00F333A2">
            <w:pPr>
              <w:jc w:val="center"/>
              <w:rPr>
                <w:bCs/>
                <w:sz w:val="18"/>
                <w:szCs w:val="18"/>
              </w:rPr>
            </w:pPr>
            <w:r w:rsidRPr="00145D6B">
              <w:rPr>
                <w:bCs/>
                <w:sz w:val="18"/>
                <w:szCs w:val="18"/>
              </w:rPr>
              <w:t>Проект бюджета на</w:t>
            </w:r>
          </w:p>
        </w:tc>
      </w:tr>
      <w:tr w:rsidR="007D45F4" w:rsidRPr="00441760" w:rsidTr="000B6C69">
        <w:trPr>
          <w:trHeight w:val="250"/>
        </w:trPr>
        <w:tc>
          <w:tcPr>
            <w:tcW w:w="3276" w:type="dxa"/>
            <w:vMerge/>
            <w:tcBorders>
              <w:left w:val="single" w:sz="4" w:space="0" w:color="auto"/>
              <w:right w:val="single" w:sz="4" w:space="0" w:color="auto"/>
            </w:tcBorders>
            <w:noWrap/>
            <w:vAlign w:val="center"/>
          </w:tcPr>
          <w:p w:rsidR="007D45F4" w:rsidRPr="00441760" w:rsidRDefault="007D45F4" w:rsidP="00F333A2">
            <w:pPr>
              <w:jc w:val="center"/>
              <w:rPr>
                <w:bCs/>
                <w:sz w:val="18"/>
                <w:szCs w:val="18"/>
              </w:rPr>
            </w:pPr>
          </w:p>
        </w:tc>
        <w:tc>
          <w:tcPr>
            <w:tcW w:w="1779" w:type="dxa"/>
            <w:vMerge/>
            <w:tcBorders>
              <w:left w:val="single" w:sz="4" w:space="0" w:color="auto"/>
              <w:right w:val="single" w:sz="4" w:space="0" w:color="auto"/>
            </w:tcBorders>
          </w:tcPr>
          <w:p w:rsidR="007D45F4" w:rsidRPr="00FC7447" w:rsidRDefault="007D45F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45F4" w:rsidRPr="00441760" w:rsidRDefault="007D45F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D45F4" w:rsidRPr="00441760" w:rsidRDefault="007D45F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D45F4" w:rsidRPr="00441760" w:rsidRDefault="007D45F4" w:rsidP="002D658D">
            <w:pPr>
              <w:jc w:val="center"/>
              <w:rPr>
                <w:color w:val="000000"/>
                <w:sz w:val="18"/>
                <w:szCs w:val="18"/>
              </w:rPr>
            </w:pPr>
            <w:r>
              <w:rPr>
                <w:color w:val="000000"/>
                <w:sz w:val="18"/>
                <w:szCs w:val="18"/>
              </w:rPr>
              <w:t>2022 год</w:t>
            </w:r>
          </w:p>
        </w:tc>
      </w:tr>
      <w:tr w:rsidR="007D45F4" w:rsidRPr="00441760" w:rsidTr="000B6C69">
        <w:trPr>
          <w:trHeight w:val="250"/>
        </w:trPr>
        <w:tc>
          <w:tcPr>
            <w:tcW w:w="3276" w:type="dxa"/>
            <w:vMerge/>
            <w:tcBorders>
              <w:left w:val="single" w:sz="4" w:space="0" w:color="auto"/>
              <w:bottom w:val="single" w:sz="4" w:space="0" w:color="auto"/>
              <w:right w:val="single" w:sz="4" w:space="0" w:color="auto"/>
            </w:tcBorders>
            <w:noWrap/>
          </w:tcPr>
          <w:p w:rsidR="007D45F4" w:rsidRPr="00441760" w:rsidRDefault="007D45F4" w:rsidP="00F333A2">
            <w:pPr>
              <w:rPr>
                <w:bCs/>
                <w:sz w:val="18"/>
                <w:szCs w:val="18"/>
              </w:rPr>
            </w:pPr>
          </w:p>
        </w:tc>
        <w:tc>
          <w:tcPr>
            <w:tcW w:w="1779" w:type="dxa"/>
            <w:vMerge/>
            <w:tcBorders>
              <w:left w:val="single" w:sz="4" w:space="0" w:color="auto"/>
              <w:bottom w:val="single" w:sz="4" w:space="0" w:color="auto"/>
              <w:right w:val="single" w:sz="4" w:space="0" w:color="auto"/>
            </w:tcBorders>
          </w:tcPr>
          <w:p w:rsidR="007D45F4" w:rsidRPr="00441760" w:rsidRDefault="007D45F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45F4" w:rsidRPr="00441760" w:rsidRDefault="007D45F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D45F4" w:rsidRPr="00441760" w:rsidRDefault="007D45F4" w:rsidP="00F333A2">
            <w:pPr>
              <w:jc w:val="center"/>
              <w:rPr>
                <w:bCs/>
                <w:sz w:val="18"/>
                <w:szCs w:val="18"/>
              </w:rPr>
            </w:pPr>
            <w:r w:rsidRPr="00441760">
              <w:rPr>
                <w:bCs/>
                <w:sz w:val="18"/>
                <w:szCs w:val="18"/>
              </w:rPr>
              <w:t>Сумма</w:t>
            </w:r>
          </w:p>
        </w:tc>
      </w:tr>
      <w:tr w:rsidR="00F01A59"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F01A59" w:rsidRPr="00E6247E" w:rsidRDefault="00F01A59"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t>1645,2</w:t>
            </w:r>
          </w:p>
        </w:tc>
        <w:tc>
          <w:tcPr>
            <w:tcW w:w="992" w:type="dxa"/>
            <w:tcBorders>
              <w:top w:val="nil"/>
              <w:left w:val="single" w:sz="4" w:space="0" w:color="auto"/>
              <w:bottom w:val="single" w:sz="4" w:space="0" w:color="auto"/>
              <w:right w:val="single" w:sz="4" w:space="0" w:color="auto"/>
            </w:tcBorders>
            <w:noWrap/>
            <w:vAlign w:val="center"/>
          </w:tcPr>
          <w:p w:rsidR="00F01A59" w:rsidRPr="00E6247E" w:rsidRDefault="00F1774E" w:rsidP="00F333A2">
            <w:pPr>
              <w:jc w:val="center"/>
              <w:rPr>
                <w:bCs/>
                <w:sz w:val="20"/>
                <w:szCs w:val="20"/>
              </w:rPr>
            </w:pPr>
            <w:r>
              <w:rPr>
                <w:bCs/>
                <w:sz w:val="20"/>
                <w:szCs w:val="20"/>
              </w:rPr>
              <w:t>1725,7</w:t>
            </w:r>
          </w:p>
        </w:tc>
        <w:tc>
          <w:tcPr>
            <w:tcW w:w="1701" w:type="dxa"/>
            <w:tcBorders>
              <w:top w:val="nil"/>
              <w:left w:val="single" w:sz="4" w:space="0" w:color="auto"/>
              <w:bottom w:val="single" w:sz="4" w:space="0" w:color="auto"/>
              <w:right w:val="single" w:sz="4" w:space="0" w:color="auto"/>
            </w:tcBorders>
            <w:vAlign w:val="center"/>
          </w:tcPr>
          <w:p w:rsidR="00F01A59" w:rsidRPr="00E6247E" w:rsidRDefault="00F1774E"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F01A59" w:rsidRPr="00E6247E" w:rsidRDefault="00F1774E" w:rsidP="00F333A2">
            <w:pPr>
              <w:jc w:val="center"/>
              <w:rPr>
                <w:bCs/>
                <w:sz w:val="20"/>
                <w:szCs w:val="20"/>
              </w:rPr>
            </w:pPr>
            <w:r>
              <w:rPr>
                <w:bCs/>
                <w:sz w:val="20"/>
                <w:szCs w:val="20"/>
              </w:rPr>
              <w:t>1768,3</w:t>
            </w:r>
          </w:p>
        </w:tc>
        <w:tc>
          <w:tcPr>
            <w:tcW w:w="1080" w:type="dxa"/>
            <w:tcBorders>
              <w:top w:val="nil"/>
              <w:left w:val="nil"/>
              <w:bottom w:val="single" w:sz="4" w:space="0" w:color="auto"/>
              <w:right w:val="single" w:sz="4" w:space="0" w:color="auto"/>
            </w:tcBorders>
            <w:vAlign w:val="center"/>
          </w:tcPr>
          <w:p w:rsidR="00F01A59" w:rsidRPr="00E6247E" w:rsidRDefault="00F1774E" w:rsidP="009E59D0">
            <w:pPr>
              <w:jc w:val="center"/>
              <w:rPr>
                <w:bCs/>
                <w:sz w:val="20"/>
                <w:szCs w:val="20"/>
              </w:rPr>
            </w:pPr>
            <w:r>
              <w:rPr>
                <w:bCs/>
                <w:sz w:val="20"/>
                <w:szCs w:val="20"/>
              </w:rPr>
              <w:t>1816,3</w:t>
            </w:r>
          </w:p>
        </w:tc>
      </w:tr>
      <w:tr w:rsidR="00F01A59" w:rsidRPr="00E6247E" w:rsidTr="000B6C69">
        <w:trPr>
          <w:trHeight w:val="278"/>
        </w:trPr>
        <w:tc>
          <w:tcPr>
            <w:tcW w:w="3276" w:type="dxa"/>
            <w:tcBorders>
              <w:top w:val="nil"/>
              <w:left w:val="single" w:sz="4" w:space="0" w:color="auto"/>
              <w:bottom w:val="single" w:sz="4" w:space="0" w:color="auto"/>
              <w:right w:val="single" w:sz="4" w:space="0" w:color="auto"/>
            </w:tcBorders>
          </w:tcPr>
          <w:p w:rsidR="00F01A59" w:rsidRPr="00E6247E" w:rsidRDefault="00F01A59"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t>1106,5</w:t>
            </w:r>
          </w:p>
        </w:tc>
        <w:tc>
          <w:tcPr>
            <w:tcW w:w="992" w:type="dxa"/>
            <w:tcBorders>
              <w:top w:val="nil"/>
              <w:left w:val="single" w:sz="4" w:space="0" w:color="auto"/>
              <w:bottom w:val="single" w:sz="4" w:space="0" w:color="auto"/>
              <w:right w:val="single" w:sz="4" w:space="0" w:color="auto"/>
            </w:tcBorders>
            <w:vAlign w:val="center"/>
          </w:tcPr>
          <w:p w:rsidR="00F01A59" w:rsidRPr="00E6247E" w:rsidRDefault="00F1774E" w:rsidP="00F333A2">
            <w:pPr>
              <w:jc w:val="center"/>
              <w:rPr>
                <w:bCs/>
                <w:sz w:val="20"/>
                <w:szCs w:val="20"/>
              </w:rPr>
            </w:pPr>
            <w:r>
              <w:rPr>
                <w:bCs/>
                <w:sz w:val="20"/>
                <w:szCs w:val="20"/>
              </w:rPr>
              <w:t>1191,9</w:t>
            </w:r>
          </w:p>
        </w:tc>
        <w:tc>
          <w:tcPr>
            <w:tcW w:w="1701" w:type="dxa"/>
            <w:tcBorders>
              <w:top w:val="nil"/>
              <w:left w:val="single" w:sz="4" w:space="0" w:color="auto"/>
              <w:bottom w:val="single" w:sz="4" w:space="0" w:color="auto"/>
              <w:right w:val="single" w:sz="4" w:space="0" w:color="auto"/>
            </w:tcBorders>
            <w:vAlign w:val="center"/>
          </w:tcPr>
          <w:p w:rsidR="00F01A59" w:rsidRPr="00E6247E" w:rsidRDefault="002136D5" w:rsidP="00F333A2">
            <w:pPr>
              <w:jc w:val="center"/>
              <w:rPr>
                <w:bCs/>
                <w:sz w:val="20"/>
                <w:szCs w:val="20"/>
              </w:rPr>
            </w:pPr>
            <w:r>
              <w:rPr>
                <w:bCs/>
                <w:sz w:val="20"/>
                <w:szCs w:val="20"/>
              </w:rPr>
              <w:t>69,07</w:t>
            </w:r>
          </w:p>
        </w:tc>
        <w:tc>
          <w:tcPr>
            <w:tcW w:w="907" w:type="dxa"/>
            <w:tcBorders>
              <w:top w:val="nil"/>
              <w:left w:val="nil"/>
              <w:bottom w:val="single" w:sz="4" w:space="0" w:color="auto"/>
              <w:right w:val="single" w:sz="4" w:space="0" w:color="auto"/>
            </w:tcBorders>
            <w:noWrap/>
            <w:vAlign w:val="center"/>
          </w:tcPr>
          <w:p w:rsidR="00F01A59" w:rsidRPr="00E6247E" w:rsidRDefault="00F1774E" w:rsidP="00F333A2">
            <w:pPr>
              <w:jc w:val="center"/>
              <w:rPr>
                <w:bCs/>
                <w:sz w:val="20"/>
                <w:szCs w:val="20"/>
              </w:rPr>
            </w:pPr>
            <w:r>
              <w:rPr>
                <w:bCs/>
                <w:sz w:val="20"/>
                <w:szCs w:val="20"/>
              </w:rPr>
              <w:t>1191,9</w:t>
            </w:r>
          </w:p>
        </w:tc>
        <w:tc>
          <w:tcPr>
            <w:tcW w:w="1080" w:type="dxa"/>
            <w:tcBorders>
              <w:top w:val="nil"/>
              <w:left w:val="nil"/>
              <w:bottom w:val="single" w:sz="4" w:space="0" w:color="auto"/>
              <w:right w:val="single" w:sz="4" w:space="0" w:color="auto"/>
            </w:tcBorders>
            <w:vAlign w:val="center"/>
          </w:tcPr>
          <w:p w:rsidR="00F01A59" w:rsidRPr="00E6247E" w:rsidRDefault="00F1774E" w:rsidP="00F333A2">
            <w:pPr>
              <w:jc w:val="center"/>
              <w:rPr>
                <w:bCs/>
                <w:sz w:val="20"/>
                <w:szCs w:val="20"/>
              </w:rPr>
            </w:pPr>
            <w:r>
              <w:rPr>
                <w:bCs/>
                <w:sz w:val="20"/>
                <w:szCs w:val="20"/>
              </w:rPr>
              <w:t>1191,9</w:t>
            </w:r>
          </w:p>
        </w:tc>
      </w:tr>
      <w:tr w:rsidR="00F01A59"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Pr>
                <w:bCs/>
                <w:sz w:val="20"/>
                <w:szCs w:val="20"/>
              </w:rPr>
              <w:t>Национальная оборона</w:t>
            </w:r>
          </w:p>
          <w:p w:rsidR="00F01A59" w:rsidRPr="009F5BCA" w:rsidRDefault="00F01A59"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F01A59" w:rsidRPr="00E6247E" w:rsidRDefault="00F01A59" w:rsidP="00293466">
            <w:pPr>
              <w:jc w:val="center"/>
              <w:rPr>
                <w:bCs/>
                <w:sz w:val="20"/>
                <w:szCs w:val="20"/>
              </w:rPr>
            </w:pPr>
            <w:r>
              <w:rPr>
                <w:bCs/>
                <w:sz w:val="20"/>
                <w:szCs w:val="20"/>
              </w:rPr>
              <w:t>90,5</w:t>
            </w:r>
          </w:p>
        </w:tc>
        <w:tc>
          <w:tcPr>
            <w:tcW w:w="992" w:type="dxa"/>
            <w:tcBorders>
              <w:top w:val="nil"/>
              <w:left w:val="single" w:sz="4" w:space="0" w:color="auto"/>
              <w:bottom w:val="single" w:sz="4" w:space="0" w:color="auto"/>
              <w:right w:val="single" w:sz="4" w:space="0" w:color="auto"/>
            </w:tcBorders>
            <w:noWrap/>
            <w:vAlign w:val="center"/>
          </w:tcPr>
          <w:p w:rsidR="00F01A59" w:rsidRPr="00E6247E" w:rsidRDefault="00F1774E"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F01A59" w:rsidRPr="00E6247E" w:rsidRDefault="002136D5" w:rsidP="00F333A2">
            <w:pPr>
              <w:jc w:val="center"/>
              <w:rPr>
                <w:bCs/>
                <w:sz w:val="20"/>
                <w:szCs w:val="20"/>
              </w:rPr>
            </w:pPr>
            <w:r>
              <w:rPr>
                <w:bCs/>
                <w:sz w:val="20"/>
                <w:szCs w:val="20"/>
              </w:rPr>
              <w:t>5,32</w:t>
            </w:r>
          </w:p>
        </w:tc>
        <w:tc>
          <w:tcPr>
            <w:tcW w:w="907" w:type="dxa"/>
            <w:tcBorders>
              <w:top w:val="nil"/>
              <w:left w:val="nil"/>
              <w:bottom w:val="single" w:sz="4" w:space="0" w:color="auto"/>
              <w:right w:val="single" w:sz="4" w:space="0" w:color="auto"/>
            </w:tcBorders>
            <w:noWrap/>
            <w:vAlign w:val="center"/>
          </w:tcPr>
          <w:p w:rsidR="00F01A59" w:rsidRPr="00E6247E" w:rsidRDefault="00F1774E"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F01A59" w:rsidRPr="00E6247E" w:rsidRDefault="00F1774E" w:rsidP="00F333A2">
            <w:pPr>
              <w:jc w:val="center"/>
              <w:rPr>
                <w:bCs/>
                <w:sz w:val="20"/>
                <w:szCs w:val="20"/>
              </w:rPr>
            </w:pPr>
            <w:r>
              <w:rPr>
                <w:bCs/>
                <w:sz w:val="20"/>
                <w:szCs w:val="20"/>
              </w:rPr>
              <w:t>95,4</w:t>
            </w:r>
          </w:p>
        </w:tc>
      </w:tr>
      <w:tr w:rsidR="00F01A59"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sidRPr="0037518A">
              <w:rPr>
                <w:bCs/>
                <w:sz w:val="20"/>
                <w:szCs w:val="20"/>
              </w:rPr>
              <w:t xml:space="preserve">Национальная безопасность и правоохранительная деятельность </w:t>
            </w:r>
          </w:p>
          <w:p w:rsidR="00F01A59" w:rsidRPr="009F5BCA" w:rsidRDefault="00F01A59"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F01A59" w:rsidRPr="0037518A" w:rsidRDefault="00F01A59" w:rsidP="00293466">
            <w:pPr>
              <w:jc w:val="center"/>
              <w:rPr>
                <w:bCs/>
                <w:sz w:val="20"/>
                <w:szCs w:val="20"/>
              </w:rPr>
            </w:pPr>
            <w:r>
              <w:rPr>
                <w:bCs/>
                <w:sz w:val="20"/>
                <w:szCs w:val="20"/>
              </w:rPr>
              <w:t>26,0</w:t>
            </w:r>
          </w:p>
        </w:tc>
        <w:tc>
          <w:tcPr>
            <w:tcW w:w="992" w:type="dxa"/>
            <w:tcBorders>
              <w:top w:val="nil"/>
              <w:left w:val="single" w:sz="4" w:space="0" w:color="auto"/>
              <w:bottom w:val="single" w:sz="4" w:space="0" w:color="auto"/>
              <w:right w:val="single" w:sz="4" w:space="0" w:color="auto"/>
            </w:tcBorders>
            <w:noWrap/>
            <w:vAlign w:val="center"/>
          </w:tcPr>
          <w:p w:rsidR="00F01A59" w:rsidRPr="0037518A" w:rsidRDefault="00F1774E" w:rsidP="00F333A2">
            <w:pPr>
              <w:jc w:val="center"/>
              <w:rPr>
                <w:bCs/>
                <w:sz w:val="20"/>
                <w:szCs w:val="20"/>
              </w:rPr>
            </w:pPr>
            <w:r>
              <w:rPr>
                <w:bCs/>
                <w:sz w:val="20"/>
                <w:szCs w:val="20"/>
              </w:rPr>
              <w:t>25,0</w:t>
            </w:r>
          </w:p>
        </w:tc>
        <w:tc>
          <w:tcPr>
            <w:tcW w:w="1701" w:type="dxa"/>
            <w:tcBorders>
              <w:top w:val="nil"/>
              <w:left w:val="single" w:sz="4" w:space="0" w:color="auto"/>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1,45</w:t>
            </w:r>
          </w:p>
        </w:tc>
        <w:tc>
          <w:tcPr>
            <w:tcW w:w="907" w:type="dxa"/>
            <w:tcBorders>
              <w:top w:val="nil"/>
              <w:left w:val="nil"/>
              <w:bottom w:val="single" w:sz="4" w:space="0" w:color="auto"/>
              <w:right w:val="single" w:sz="4" w:space="0" w:color="auto"/>
            </w:tcBorders>
            <w:noWrap/>
            <w:vAlign w:val="center"/>
          </w:tcPr>
          <w:p w:rsidR="00F01A59" w:rsidRPr="0037518A" w:rsidRDefault="00F1774E" w:rsidP="00F333A2">
            <w:pPr>
              <w:jc w:val="center"/>
              <w:rPr>
                <w:bCs/>
                <w:sz w:val="20"/>
                <w:szCs w:val="20"/>
              </w:rPr>
            </w:pPr>
            <w:r>
              <w:rPr>
                <w:bCs/>
                <w:sz w:val="20"/>
                <w:szCs w:val="20"/>
              </w:rPr>
              <w:t>25,0</w:t>
            </w:r>
          </w:p>
        </w:tc>
        <w:tc>
          <w:tcPr>
            <w:tcW w:w="1080" w:type="dxa"/>
            <w:tcBorders>
              <w:top w:val="nil"/>
              <w:left w:val="nil"/>
              <w:bottom w:val="single" w:sz="4" w:space="0" w:color="auto"/>
              <w:right w:val="single" w:sz="4" w:space="0" w:color="auto"/>
            </w:tcBorders>
            <w:vAlign w:val="center"/>
          </w:tcPr>
          <w:p w:rsidR="00F01A59" w:rsidRPr="0037518A" w:rsidRDefault="00F1774E" w:rsidP="00F333A2">
            <w:pPr>
              <w:jc w:val="center"/>
              <w:rPr>
                <w:bCs/>
                <w:sz w:val="20"/>
                <w:szCs w:val="20"/>
              </w:rPr>
            </w:pPr>
            <w:r>
              <w:rPr>
                <w:bCs/>
                <w:sz w:val="20"/>
                <w:szCs w:val="20"/>
              </w:rPr>
              <w:t>25,0</w:t>
            </w:r>
          </w:p>
        </w:tc>
      </w:tr>
      <w:tr w:rsidR="00F01A59"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Pr>
                <w:bCs/>
                <w:sz w:val="20"/>
                <w:szCs w:val="20"/>
              </w:rPr>
              <w:t>Национальная экономика</w:t>
            </w:r>
          </w:p>
          <w:p w:rsidR="00F01A59" w:rsidRPr="009F5BCA" w:rsidRDefault="00F01A59"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F01A59" w:rsidRDefault="00F01A59" w:rsidP="00293466">
            <w:pPr>
              <w:jc w:val="center"/>
              <w:rPr>
                <w:bCs/>
                <w:sz w:val="20"/>
                <w:szCs w:val="20"/>
              </w:rPr>
            </w:pPr>
            <w:r>
              <w:rPr>
                <w:bCs/>
                <w:sz w:val="20"/>
                <w:szCs w:val="20"/>
              </w:rPr>
              <w:t>313,2</w:t>
            </w:r>
          </w:p>
        </w:tc>
        <w:tc>
          <w:tcPr>
            <w:tcW w:w="992" w:type="dxa"/>
            <w:tcBorders>
              <w:top w:val="nil"/>
              <w:left w:val="single" w:sz="4" w:space="0" w:color="auto"/>
              <w:bottom w:val="single" w:sz="4" w:space="0" w:color="auto"/>
              <w:right w:val="single" w:sz="4" w:space="0" w:color="auto"/>
            </w:tcBorders>
            <w:noWrap/>
            <w:vAlign w:val="center"/>
          </w:tcPr>
          <w:p w:rsidR="00F01A59" w:rsidRDefault="00F1774E" w:rsidP="00F333A2">
            <w:pPr>
              <w:jc w:val="center"/>
              <w:rPr>
                <w:bCs/>
                <w:sz w:val="20"/>
                <w:szCs w:val="20"/>
              </w:rPr>
            </w:pPr>
            <w:r>
              <w:rPr>
                <w:bCs/>
                <w:sz w:val="20"/>
                <w:szCs w:val="20"/>
              </w:rPr>
              <w:t>296,0</w:t>
            </w:r>
          </w:p>
        </w:tc>
        <w:tc>
          <w:tcPr>
            <w:tcW w:w="1701" w:type="dxa"/>
            <w:tcBorders>
              <w:top w:val="nil"/>
              <w:left w:val="single" w:sz="4" w:space="0" w:color="auto"/>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17,15</w:t>
            </w:r>
          </w:p>
        </w:tc>
        <w:tc>
          <w:tcPr>
            <w:tcW w:w="907" w:type="dxa"/>
            <w:tcBorders>
              <w:top w:val="nil"/>
              <w:left w:val="nil"/>
              <w:bottom w:val="single" w:sz="4" w:space="0" w:color="auto"/>
              <w:right w:val="single" w:sz="4" w:space="0" w:color="auto"/>
            </w:tcBorders>
            <w:noWrap/>
            <w:vAlign w:val="center"/>
          </w:tcPr>
          <w:p w:rsidR="00F01A59" w:rsidRPr="0037518A" w:rsidRDefault="00F1774E" w:rsidP="00F333A2">
            <w:pPr>
              <w:jc w:val="center"/>
              <w:rPr>
                <w:bCs/>
                <w:sz w:val="20"/>
                <w:szCs w:val="20"/>
              </w:rPr>
            </w:pPr>
            <w:r>
              <w:rPr>
                <w:bCs/>
                <w:sz w:val="20"/>
                <w:szCs w:val="20"/>
              </w:rPr>
              <w:t>296,0</w:t>
            </w:r>
          </w:p>
        </w:tc>
        <w:tc>
          <w:tcPr>
            <w:tcW w:w="1080" w:type="dxa"/>
            <w:tcBorders>
              <w:top w:val="nil"/>
              <w:left w:val="nil"/>
              <w:bottom w:val="single" w:sz="4" w:space="0" w:color="auto"/>
              <w:right w:val="single" w:sz="4" w:space="0" w:color="auto"/>
            </w:tcBorders>
            <w:vAlign w:val="center"/>
          </w:tcPr>
          <w:p w:rsidR="00F01A59" w:rsidRPr="0037518A" w:rsidRDefault="00F1774E" w:rsidP="00F333A2">
            <w:pPr>
              <w:jc w:val="center"/>
              <w:rPr>
                <w:bCs/>
                <w:sz w:val="20"/>
                <w:szCs w:val="20"/>
              </w:rPr>
            </w:pPr>
            <w:r>
              <w:rPr>
                <w:bCs/>
                <w:sz w:val="20"/>
                <w:szCs w:val="20"/>
              </w:rPr>
              <w:t>296,0</w:t>
            </w:r>
          </w:p>
        </w:tc>
      </w:tr>
      <w:tr w:rsidR="00F01A59"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Pr>
                <w:bCs/>
                <w:sz w:val="20"/>
                <w:szCs w:val="20"/>
              </w:rPr>
              <w:t>Жилищно-коммунальное хозяйство</w:t>
            </w:r>
          </w:p>
          <w:p w:rsidR="00F01A59" w:rsidRPr="009F5BCA" w:rsidRDefault="00F01A59"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F01A59" w:rsidRDefault="00F01A59" w:rsidP="00293466">
            <w:pPr>
              <w:jc w:val="center"/>
              <w:rPr>
                <w:bCs/>
                <w:sz w:val="20"/>
                <w:szCs w:val="20"/>
              </w:rPr>
            </w:pPr>
            <w:r>
              <w:rPr>
                <w:bCs/>
                <w:sz w:val="20"/>
                <w:szCs w:val="20"/>
              </w:rPr>
              <w:t>85,0</w:t>
            </w:r>
          </w:p>
        </w:tc>
        <w:tc>
          <w:tcPr>
            <w:tcW w:w="992" w:type="dxa"/>
            <w:tcBorders>
              <w:top w:val="nil"/>
              <w:left w:val="single" w:sz="4" w:space="0" w:color="auto"/>
              <w:bottom w:val="single" w:sz="4" w:space="0" w:color="auto"/>
              <w:right w:val="single" w:sz="4" w:space="0" w:color="auto"/>
            </w:tcBorders>
            <w:noWrap/>
            <w:vAlign w:val="center"/>
          </w:tcPr>
          <w:p w:rsidR="00F01A59" w:rsidRDefault="002136D5" w:rsidP="00F333A2">
            <w:pPr>
              <w:jc w:val="center"/>
              <w:rPr>
                <w:bCs/>
                <w:sz w:val="20"/>
                <w:szCs w:val="20"/>
              </w:rPr>
            </w:pPr>
            <w:r>
              <w:rPr>
                <w:bCs/>
                <w:sz w:val="20"/>
                <w:szCs w:val="20"/>
              </w:rPr>
              <w:t>97,0</w:t>
            </w:r>
          </w:p>
        </w:tc>
        <w:tc>
          <w:tcPr>
            <w:tcW w:w="1701" w:type="dxa"/>
            <w:tcBorders>
              <w:top w:val="nil"/>
              <w:left w:val="single" w:sz="4" w:space="0" w:color="auto"/>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5,62</w:t>
            </w:r>
          </w:p>
        </w:tc>
        <w:tc>
          <w:tcPr>
            <w:tcW w:w="907" w:type="dxa"/>
            <w:tcBorders>
              <w:top w:val="nil"/>
              <w:left w:val="nil"/>
              <w:bottom w:val="single" w:sz="4" w:space="0" w:color="auto"/>
              <w:right w:val="single" w:sz="4" w:space="0" w:color="auto"/>
            </w:tcBorders>
            <w:noWrap/>
            <w:vAlign w:val="center"/>
          </w:tcPr>
          <w:p w:rsidR="00F01A59" w:rsidRPr="0037518A" w:rsidRDefault="002136D5" w:rsidP="00F333A2">
            <w:pPr>
              <w:jc w:val="center"/>
              <w:rPr>
                <w:bCs/>
                <w:sz w:val="20"/>
                <w:szCs w:val="20"/>
              </w:rPr>
            </w:pPr>
            <w:r>
              <w:rPr>
                <w:bCs/>
                <w:sz w:val="20"/>
                <w:szCs w:val="20"/>
              </w:rPr>
              <w:t>97,0</w:t>
            </w:r>
          </w:p>
        </w:tc>
        <w:tc>
          <w:tcPr>
            <w:tcW w:w="1080" w:type="dxa"/>
            <w:tcBorders>
              <w:top w:val="nil"/>
              <w:left w:val="nil"/>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97,0</w:t>
            </w:r>
          </w:p>
        </w:tc>
      </w:tr>
      <w:tr w:rsidR="00F01A59"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Pr>
                <w:bCs/>
                <w:sz w:val="20"/>
                <w:szCs w:val="20"/>
              </w:rPr>
              <w:t>Социальная политика</w:t>
            </w:r>
          </w:p>
          <w:p w:rsidR="00F01A59" w:rsidRPr="009F5BCA" w:rsidRDefault="00F01A59"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F01A59" w:rsidRDefault="00F01A59" w:rsidP="00293466">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F01A59" w:rsidRDefault="002136D5"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1,39</w:t>
            </w:r>
          </w:p>
        </w:tc>
        <w:tc>
          <w:tcPr>
            <w:tcW w:w="907" w:type="dxa"/>
            <w:tcBorders>
              <w:top w:val="nil"/>
              <w:left w:val="nil"/>
              <w:bottom w:val="single" w:sz="4" w:space="0" w:color="auto"/>
              <w:right w:val="single" w:sz="4" w:space="0" w:color="auto"/>
            </w:tcBorders>
            <w:noWrap/>
            <w:vAlign w:val="center"/>
          </w:tcPr>
          <w:p w:rsidR="00F01A59" w:rsidRPr="0037518A" w:rsidRDefault="002136D5"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F01A59" w:rsidRPr="0037518A" w:rsidRDefault="002136D5" w:rsidP="00F333A2">
            <w:pPr>
              <w:jc w:val="center"/>
              <w:rPr>
                <w:bCs/>
                <w:sz w:val="20"/>
                <w:szCs w:val="20"/>
              </w:rPr>
            </w:pPr>
            <w:r>
              <w:rPr>
                <w:bCs/>
                <w:sz w:val="20"/>
                <w:szCs w:val="20"/>
              </w:rPr>
              <w:t>24,0</w:t>
            </w:r>
          </w:p>
        </w:tc>
      </w:tr>
      <w:tr w:rsidR="00F01A59"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F01A59" w:rsidRDefault="00F01A59"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F01A59" w:rsidRDefault="002136D5" w:rsidP="00293466">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F01A59" w:rsidRDefault="002136D5"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F01A59" w:rsidRPr="00E6247E" w:rsidRDefault="002136D5"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F01A59" w:rsidRDefault="002136D5" w:rsidP="00F333A2">
            <w:pPr>
              <w:jc w:val="center"/>
              <w:rPr>
                <w:bCs/>
                <w:sz w:val="20"/>
                <w:szCs w:val="20"/>
              </w:rPr>
            </w:pPr>
            <w:r>
              <w:rPr>
                <w:bCs/>
                <w:sz w:val="20"/>
                <w:szCs w:val="20"/>
              </w:rPr>
              <w:t>42,0</w:t>
            </w:r>
          </w:p>
        </w:tc>
        <w:tc>
          <w:tcPr>
            <w:tcW w:w="1080" w:type="dxa"/>
            <w:tcBorders>
              <w:top w:val="nil"/>
              <w:left w:val="nil"/>
              <w:bottom w:val="single" w:sz="4" w:space="0" w:color="auto"/>
              <w:right w:val="single" w:sz="4" w:space="0" w:color="auto"/>
            </w:tcBorders>
            <w:vAlign w:val="center"/>
          </w:tcPr>
          <w:p w:rsidR="00F01A59" w:rsidRDefault="002136D5" w:rsidP="00F333A2">
            <w:pPr>
              <w:jc w:val="center"/>
              <w:rPr>
                <w:bCs/>
                <w:sz w:val="20"/>
                <w:szCs w:val="20"/>
              </w:rPr>
            </w:pPr>
            <w:r>
              <w:rPr>
                <w:bCs/>
                <w:sz w:val="20"/>
                <w:szCs w:val="20"/>
              </w:rPr>
              <w:t>87,0</w:t>
            </w:r>
          </w:p>
        </w:tc>
      </w:tr>
    </w:tbl>
    <w:p w:rsidR="007D45F4" w:rsidRPr="0007634E" w:rsidRDefault="007D45F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sidR="002136D5">
        <w:rPr>
          <w:sz w:val="26"/>
          <w:szCs w:val="26"/>
        </w:rPr>
        <w:t>69,07</w:t>
      </w:r>
      <w:r w:rsidRPr="0007634E">
        <w:rPr>
          <w:sz w:val="26"/>
          <w:szCs w:val="26"/>
        </w:rPr>
        <w:t>%.</w:t>
      </w:r>
    </w:p>
    <w:p w:rsidR="007D45F4" w:rsidRPr="0007634E" w:rsidRDefault="007D45F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D45F4" w:rsidRPr="0007634E" w:rsidRDefault="007D45F4"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sidR="00B4671D">
        <w:rPr>
          <w:bCs/>
          <w:sz w:val="26"/>
          <w:szCs w:val="26"/>
        </w:rPr>
        <w:t>Пинязьское</w:t>
      </w:r>
      <w:r w:rsidRPr="0007634E">
        <w:rPr>
          <w:bCs/>
          <w:sz w:val="26"/>
          <w:szCs w:val="26"/>
        </w:rPr>
        <w:t xml:space="preserve">» планируется распределение дотации на выравнивание бюджетной обеспеченности в размере </w:t>
      </w:r>
      <w:r w:rsidR="002136D5">
        <w:rPr>
          <w:bCs/>
          <w:sz w:val="26"/>
          <w:szCs w:val="26"/>
        </w:rPr>
        <w:t>668,7</w:t>
      </w:r>
      <w:r w:rsidRPr="0007634E">
        <w:rPr>
          <w:bCs/>
          <w:sz w:val="26"/>
          <w:szCs w:val="26"/>
        </w:rPr>
        <w:t xml:space="preserve"> тыс. рублей. </w:t>
      </w:r>
    </w:p>
    <w:p w:rsidR="007D45F4" w:rsidRPr="00E67232" w:rsidRDefault="007D45F4" w:rsidP="00042A2D">
      <w:pPr>
        <w:pStyle w:val="af3"/>
        <w:ind w:firstLine="720"/>
        <w:jc w:val="both"/>
        <w:rPr>
          <w:bCs/>
          <w:sz w:val="24"/>
          <w:szCs w:val="24"/>
        </w:rPr>
      </w:pPr>
    </w:p>
    <w:p w:rsidR="007D45F4" w:rsidRPr="0007634E" w:rsidRDefault="007D45F4" w:rsidP="00F564BC">
      <w:pPr>
        <w:pStyle w:val="af3"/>
        <w:ind w:firstLine="568"/>
        <w:jc w:val="both"/>
        <w:rPr>
          <w:bCs/>
          <w:sz w:val="26"/>
          <w:szCs w:val="26"/>
        </w:rPr>
      </w:pPr>
      <w:r w:rsidRPr="00F564BC">
        <w:rPr>
          <w:b/>
          <w:bCs/>
          <w:sz w:val="26"/>
          <w:szCs w:val="26"/>
        </w:rPr>
        <w:lastRenderedPageBreak/>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D45F4" w:rsidRPr="0007634E" w:rsidRDefault="007D45F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sidR="00B4671D">
        <w:rPr>
          <w:bCs/>
          <w:sz w:val="26"/>
          <w:szCs w:val="26"/>
        </w:rPr>
        <w:t>Пинязьское</w:t>
      </w:r>
      <w:r w:rsidRPr="0007634E">
        <w:rPr>
          <w:bCs/>
          <w:sz w:val="26"/>
          <w:szCs w:val="26"/>
        </w:rPr>
        <w:t>».</w:t>
      </w:r>
    </w:p>
    <w:p w:rsidR="007D45F4" w:rsidRPr="0007634E" w:rsidRDefault="007D45F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sidR="00B4671D">
        <w:rPr>
          <w:bCs/>
          <w:sz w:val="26"/>
          <w:szCs w:val="26"/>
        </w:rPr>
        <w:t>Пинязьское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sidR="00B4671D">
        <w:rPr>
          <w:bCs/>
          <w:sz w:val="26"/>
          <w:szCs w:val="26"/>
        </w:rPr>
        <w:t>Пинязьское</w:t>
      </w:r>
      <w:r w:rsidRPr="0007634E">
        <w:rPr>
          <w:bCs/>
          <w:sz w:val="26"/>
          <w:szCs w:val="26"/>
        </w:rPr>
        <w:t>».</w:t>
      </w:r>
    </w:p>
    <w:p w:rsidR="007D45F4" w:rsidRPr="0007634E" w:rsidRDefault="007D45F4" w:rsidP="00A32DA7">
      <w:pPr>
        <w:pStyle w:val="af3"/>
        <w:jc w:val="both"/>
        <w:rPr>
          <w:bCs/>
          <w:sz w:val="26"/>
          <w:szCs w:val="26"/>
        </w:rPr>
      </w:pPr>
    </w:p>
    <w:p w:rsidR="007D45F4" w:rsidRPr="0007634E" w:rsidRDefault="007D45F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sidR="00B4671D">
        <w:rPr>
          <w:b w:val="0"/>
          <w:sz w:val="26"/>
          <w:szCs w:val="26"/>
        </w:rPr>
        <w:t>Пинязьское</w:t>
      </w:r>
      <w:r w:rsidRPr="0007634E">
        <w:rPr>
          <w:b w:val="0"/>
          <w:sz w:val="26"/>
          <w:szCs w:val="26"/>
        </w:rPr>
        <w:t>» «О бюджете муниципального обр</w:t>
      </w:r>
      <w:r>
        <w:rPr>
          <w:b w:val="0"/>
          <w:sz w:val="26"/>
          <w:szCs w:val="26"/>
        </w:rPr>
        <w:t>азования «</w:t>
      </w:r>
      <w:r w:rsidR="00B4671D">
        <w:rPr>
          <w:b w:val="0"/>
          <w:sz w:val="26"/>
          <w:szCs w:val="26"/>
        </w:rPr>
        <w:t>Пинязьское</w:t>
      </w:r>
      <w:r>
        <w:rPr>
          <w:b w:val="0"/>
          <w:sz w:val="26"/>
          <w:szCs w:val="26"/>
        </w:rPr>
        <w:t>»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D45F4" w:rsidRDefault="007D45F4" w:rsidP="00A32DA7">
      <w:pPr>
        <w:pStyle w:val="af3"/>
        <w:jc w:val="both"/>
        <w:rPr>
          <w:bCs/>
          <w:sz w:val="26"/>
          <w:szCs w:val="26"/>
        </w:rPr>
      </w:pPr>
    </w:p>
    <w:p w:rsidR="007D45F4" w:rsidRPr="00042A2D" w:rsidRDefault="007D45F4" w:rsidP="00042A2D">
      <w:pPr>
        <w:pStyle w:val="af3"/>
        <w:ind w:firstLine="720"/>
        <w:jc w:val="both"/>
        <w:rPr>
          <w:color w:val="FF0000"/>
          <w:sz w:val="26"/>
          <w:szCs w:val="26"/>
        </w:rPr>
      </w:pPr>
    </w:p>
    <w:p w:rsidR="007D45F4" w:rsidRDefault="007D45F4" w:rsidP="00840679">
      <w:pPr>
        <w:tabs>
          <w:tab w:val="left" w:pos="567"/>
          <w:tab w:val="left" w:pos="18286"/>
        </w:tabs>
        <w:ind w:right="172"/>
        <w:jc w:val="both"/>
        <w:rPr>
          <w:sz w:val="20"/>
          <w:szCs w:val="20"/>
          <w:lang w:eastAsia="en-US"/>
        </w:rPr>
      </w:pPr>
    </w:p>
    <w:p w:rsidR="007D45F4" w:rsidRDefault="007D45F4" w:rsidP="00840679">
      <w:pPr>
        <w:tabs>
          <w:tab w:val="left" w:pos="567"/>
          <w:tab w:val="left" w:pos="18286"/>
        </w:tabs>
        <w:ind w:right="172"/>
        <w:jc w:val="both"/>
        <w:rPr>
          <w:sz w:val="20"/>
          <w:szCs w:val="20"/>
          <w:lang w:eastAsia="en-US"/>
        </w:rPr>
      </w:pPr>
    </w:p>
    <w:p w:rsidR="007D45F4" w:rsidRPr="00E67232" w:rsidRDefault="007D45F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D45F4" w:rsidRPr="00E67232" w:rsidRDefault="007D45F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D45F4" w:rsidRPr="00E67232" w:rsidRDefault="007D45F4" w:rsidP="00E67232">
      <w:pPr>
        <w:tabs>
          <w:tab w:val="left" w:pos="567"/>
          <w:tab w:val="left" w:pos="18286"/>
        </w:tabs>
        <w:ind w:right="172"/>
        <w:jc w:val="both"/>
        <w:rPr>
          <w:sz w:val="22"/>
          <w:szCs w:val="22"/>
        </w:rPr>
      </w:pPr>
    </w:p>
    <w:sectPr w:rsidR="007D45F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A9" w:rsidRDefault="00BB7AA9" w:rsidP="00D06816">
      <w:r>
        <w:separator/>
      </w:r>
    </w:p>
  </w:endnote>
  <w:endnote w:type="continuationSeparator" w:id="0">
    <w:p w:rsidR="00BB7AA9" w:rsidRDefault="00BB7AA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6E3533">
    <w:pPr>
      <w:pStyle w:val="aa"/>
      <w:jc w:val="right"/>
    </w:pPr>
    <w:fldSimple w:instr=" PAGE   \* MERGEFORMAT ">
      <w:r w:rsidR="003812FF">
        <w:rPr>
          <w:noProof/>
        </w:rPr>
        <w:t>1</w:t>
      </w:r>
    </w:fldSimple>
  </w:p>
  <w:p w:rsidR="007D45F4" w:rsidRDefault="007D45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A9" w:rsidRDefault="00BB7AA9" w:rsidP="00D06816">
      <w:r>
        <w:separator/>
      </w:r>
    </w:p>
  </w:footnote>
  <w:footnote w:type="continuationSeparator" w:id="0">
    <w:p w:rsidR="00BB7AA9" w:rsidRDefault="00BB7AA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7D45F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0DF0"/>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6D5"/>
    <w:rsid w:val="00213E5B"/>
    <w:rsid w:val="00220E1D"/>
    <w:rsid w:val="0022305F"/>
    <w:rsid w:val="0022346A"/>
    <w:rsid w:val="00223807"/>
    <w:rsid w:val="00226669"/>
    <w:rsid w:val="00226DFE"/>
    <w:rsid w:val="0022793C"/>
    <w:rsid w:val="00230A67"/>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66831"/>
    <w:rsid w:val="00372E86"/>
    <w:rsid w:val="0037518A"/>
    <w:rsid w:val="00376D5B"/>
    <w:rsid w:val="0038054B"/>
    <w:rsid w:val="0038070F"/>
    <w:rsid w:val="003812F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E7457"/>
    <w:rsid w:val="005F112D"/>
    <w:rsid w:val="005F17F9"/>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533"/>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3B98"/>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0DA"/>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45F4"/>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655"/>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2B8"/>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CB2"/>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25E4"/>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71D"/>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B7AA9"/>
    <w:rsid w:val="00BC24A4"/>
    <w:rsid w:val="00BC2A12"/>
    <w:rsid w:val="00BC2C88"/>
    <w:rsid w:val="00BC3A76"/>
    <w:rsid w:val="00BC65C0"/>
    <w:rsid w:val="00BD0779"/>
    <w:rsid w:val="00BD0EEF"/>
    <w:rsid w:val="00BD1793"/>
    <w:rsid w:val="00BD2093"/>
    <w:rsid w:val="00BE04E5"/>
    <w:rsid w:val="00BE3AFE"/>
    <w:rsid w:val="00BE4447"/>
    <w:rsid w:val="00BE5FAB"/>
    <w:rsid w:val="00BE6435"/>
    <w:rsid w:val="00BE6DE6"/>
    <w:rsid w:val="00BF1A1F"/>
    <w:rsid w:val="00BF682D"/>
    <w:rsid w:val="00C01B8C"/>
    <w:rsid w:val="00C04B50"/>
    <w:rsid w:val="00C05AA7"/>
    <w:rsid w:val="00C0733B"/>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3242"/>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66C"/>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1A59"/>
    <w:rsid w:val="00F03917"/>
    <w:rsid w:val="00F0434E"/>
    <w:rsid w:val="00F06703"/>
    <w:rsid w:val="00F10913"/>
    <w:rsid w:val="00F14544"/>
    <w:rsid w:val="00F16403"/>
    <w:rsid w:val="00F1774E"/>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45863"/>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403845">
      <w:marLeft w:val="0"/>
      <w:marRight w:val="0"/>
      <w:marTop w:val="0"/>
      <w:marBottom w:val="0"/>
      <w:divBdr>
        <w:top w:val="none" w:sz="0" w:space="0" w:color="auto"/>
        <w:left w:val="none" w:sz="0" w:space="0" w:color="auto"/>
        <w:bottom w:val="none" w:sz="0" w:space="0" w:color="auto"/>
        <w:right w:val="none" w:sz="0" w:space="0" w:color="auto"/>
      </w:divBdr>
    </w:div>
    <w:div w:id="506403846">
      <w:marLeft w:val="0"/>
      <w:marRight w:val="0"/>
      <w:marTop w:val="0"/>
      <w:marBottom w:val="0"/>
      <w:divBdr>
        <w:top w:val="none" w:sz="0" w:space="0" w:color="auto"/>
        <w:left w:val="none" w:sz="0" w:space="0" w:color="auto"/>
        <w:bottom w:val="none" w:sz="0" w:space="0" w:color="auto"/>
        <w:right w:val="none" w:sz="0" w:space="0" w:color="auto"/>
      </w:divBdr>
    </w:div>
    <w:div w:id="506403847">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6403849">
      <w:marLeft w:val="0"/>
      <w:marRight w:val="0"/>
      <w:marTop w:val="0"/>
      <w:marBottom w:val="0"/>
      <w:divBdr>
        <w:top w:val="none" w:sz="0" w:space="0" w:color="auto"/>
        <w:left w:val="none" w:sz="0" w:space="0" w:color="auto"/>
        <w:bottom w:val="none" w:sz="0" w:space="0" w:color="auto"/>
        <w:right w:val="none" w:sz="0" w:space="0" w:color="auto"/>
      </w:divBdr>
    </w:div>
    <w:div w:id="506403850">
      <w:marLeft w:val="0"/>
      <w:marRight w:val="0"/>
      <w:marTop w:val="0"/>
      <w:marBottom w:val="0"/>
      <w:divBdr>
        <w:top w:val="none" w:sz="0" w:space="0" w:color="auto"/>
        <w:left w:val="none" w:sz="0" w:space="0" w:color="auto"/>
        <w:bottom w:val="none" w:sz="0" w:space="0" w:color="auto"/>
        <w:right w:val="none" w:sz="0" w:space="0" w:color="auto"/>
      </w:divBdr>
    </w:div>
    <w:div w:id="506403851">
      <w:marLeft w:val="0"/>
      <w:marRight w:val="0"/>
      <w:marTop w:val="0"/>
      <w:marBottom w:val="0"/>
      <w:divBdr>
        <w:top w:val="none" w:sz="0" w:space="0" w:color="auto"/>
        <w:left w:val="none" w:sz="0" w:space="0" w:color="auto"/>
        <w:bottom w:val="none" w:sz="0" w:space="0" w:color="auto"/>
        <w:right w:val="none" w:sz="0" w:space="0" w:color="auto"/>
      </w:divBdr>
    </w:div>
    <w:div w:id="50640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8648</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807</cp:revision>
  <cp:lastPrinted>2018-12-19T11:43:00Z</cp:lastPrinted>
  <dcterms:created xsi:type="dcterms:W3CDTF">2015-02-18T04:15:00Z</dcterms:created>
  <dcterms:modified xsi:type="dcterms:W3CDTF">2019-12-24T10:41:00Z</dcterms:modified>
</cp:coreProperties>
</file>