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D" w:rsidRPr="004D724A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54472D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54472D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 w:rsidR="00372958"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20.12.2018 года №21/6-18 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</w:p>
    <w:p w:rsidR="0054472D" w:rsidRPr="004D724A" w:rsidRDefault="0054472D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201</w:t>
      </w:r>
      <w:r>
        <w:rPr>
          <w:b/>
          <w:color w:val="000000"/>
          <w:spacing w:val="3"/>
          <w:sz w:val="24"/>
          <w:szCs w:val="24"/>
        </w:rPr>
        <w:t>9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2020 и 2021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54472D" w:rsidRPr="004D724A" w:rsidRDefault="0054472D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54472D" w:rsidRPr="00375681" w:rsidRDefault="0054472D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</w:t>
      </w:r>
      <w:r w:rsidR="00372958">
        <w:rPr>
          <w:sz w:val="24"/>
          <w:szCs w:val="24"/>
        </w:rPr>
        <w:t xml:space="preserve">                               1</w:t>
      </w:r>
      <w:r w:rsidR="00ED67C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72958">
        <w:rPr>
          <w:sz w:val="24"/>
          <w:szCs w:val="24"/>
        </w:rPr>
        <w:t>января</w:t>
      </w:r>
      <w:r w:rsidRPr="00375681">
        <w:rPr>
          <w:sz w:val="24"/>
          <w:szCs w:val="24"/>
        </w:rPr>
        <w:t xml:space="preserve"> 201</w:t>
      </w:r>
      <w:r w:rsidR="00372958">
        <w:rPr>
          <w:sz w:val="24"/>
          <w:szCs w:val="24"/>
        </w:rPr>
        <w:t>9</w:t>
      </w:r>
      <w:r w:rsidRPr="00375681">
        <w:rPr>
          <w:sz w:val="24"/>
          <w:szCs w:val="24"/>
        </w:rPr>
        <w:t xml:space="preserve"> года</w:t>
      </w:r>
    </w:p>
    <w:p w:rsidR="0054472D" w:rsidRPr="00AF3042" w:rsidRDefault="0054472D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54472D" w:rsidRPr="00221F5C" w:rsidRDefault="0054472D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 xml:space="preserve"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</w:t>
      </w:r>
      <w:r w:rsidR="00372958" w:rsidRPr="00221F5C">
        <w:rPr>
          <w:sz w:val="26"/>
          <w:szCs w:val="26"/>
        </w:rPr>
        <w:t>«</w:t>
      </w:r>
      <w:r w:rsidR="00372958"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«Каракулинский район» от 20.12.2018 года №21/6-18</w:t>
      </w:r>
      <w:r w:rsidR="00372958"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2019 год и на плановый период 2020</w:t>
      </w:r>
      <w:r w:rsidR="00372958" w:rsidRPr="00221F5C">
        <w:rPr>
          <w:sz w:val="26"/>
          <w:szCs w:val="26"/>
        </w:rPr>
        <w:t xml:space="preserve"> и 2021 годов» (далее – проект Б</w:t>
      </w:r>
      <w:r w:rsidRPr="00221F5C">
        <w:rPr>
          <w:sz w:val="26"/>
          <w:szCs w:val="26"/>
        </w:rPr>
        <w:t>юджета)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54472D" w:rsidRPr="00221F5C" w:rsidRDefault="0054472D" w:rsidP="00BD2400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372958" w:rsidRPr="00221F5C" w:rsidRDefault="00372958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372958" w:rsidRPr="00221F5C" w:rsidRDefault="00372958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Бюджета с приложениями №1,2,6,7,8,11 и Пояснительной запиской к нему поступил в Контрольно-счетный орган муниципального образования «Каракулинский район» - 14.01.2019 г.</w:t>
      </w:r>
    </w:p>
    <w:p w:rsidR="00250997" w:rsidRPr="00221F5C" w:rsidRDefault="0025099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>Представленным проектом Бюджета предлагается изменить основные характеристики бюджета муниципального образования «Каракулинский район» на 201</w:t>
      </w:r>
      <w:r w:rsidR="00DB47FA" w:rsidRPr="00221F5C">
        <w:rPr>
          <w:sz w:val="26"/>
          <w:szCs w:val="26"/>
        </w:rPr>
        <w:t>9</w:t>
      </w:r>
      <w:r w:rsidRPr="00221F5C">
        <w:rPr>
          <w:sz w:val="26"/>
          <w:szCs w:val="26"/>
        </w:rPr>
        <w:t>, 20</w:t>
      </w:r>
      <w:r w:rsidR="00DB47FA" w:rsidRPr="00221F5C">
        <w:rPr>
          <w:sz w:val="26"/>
          <w:szCs w:val="26"/>
        </w:rPr>
        <w:t>20</w:t>
      </w:r>
      <w:r w:rsidRPr="00221F5C">
        <w:rPr>
          <w:sz w:val="26"/>
          <w:szCs w:val="26"/>
        </w:rPr>
        <w:t xml:space="preserve"> и 202</w:t>
      </w:r>
      <w:r w:rsidR="00DB47FA" w:rsidRPr="00221F5C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1,2,6,7,8,11 к Решению о бюджете, дополнив и  изложив их в новой редакции. </w:t>
      </w:r>
    </w:p>
    <w:p w:rsidR="00250997" w:rsidRPr="00221F5C" w:rsidRDefault="0025099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 w:rsidR="00ED67CC">
        <w:rPr>
          <w:sz w:val="26"/>
          <w:szCs w:val="26"/>
        </w:rPr>
        <w:t>Бюджета</w:t>
      </w:r>
      <w:r w:rsidRPr="00221F5C">
        <w:rPr>
          <w:sz w:val="26"/>
          <w:szCs w:val="26"/>
        </w:rPr>
        <w:t xml:space="preserve"> в новой редакции предлагается изложить:  прогнозируемый общий объем доходов, общий объем расходов, дефицит бюджета на 201</w:t>
      </w:r>
      <w:r w:rsidR="00DB47FA" w:rsidRPr="00221F5C">
        <w:rPr>
          <w:sz w:val="26"/>
          <w:szCs w:val="26"/>
        </w:rPr>
        <w:t>9</w:t>
      </w:r>
      <w:r w:rsidRPr="00221F5C">
        <w:rPr>
          <w:sz w:val="26"/>
          <w:szCs w:val="26"/>
        </w:rPr>
        <w:t>,</w:t>
      </w:r>
      <w:r w:rsidR="00DB47FA" w:rsidRPr="00221F5C"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20</w:t>
      </w:r>
      <w:r w:rsidR="00DB47FA" w:rsidRPr="00221F5C">
        <w:rPr>
          <w:sz w:val="26"/>
          <w:szCs w:val="26"/>
        </w:rPr>
        <w:t>20</w:t>
      </w:r>
      <w:r w:rsidRPr="00221F5C">
        <w:rPr>
          <w:sz w:val="26"/>
          <w:szCs w:val="26"/>
        </w:rPr>
        <w:t xml:space="preserve"> и 202</w:t>
      </w:r>
      <w:r w:rsidR="00DB47FA" w:rsidRPr="00221F5C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годы.</w:t>
      </w:r>
    </w:p>
    <w:p w:rsidR="00221F5C" w:rsidRPr="003D4C62" w:rsidRDefault="00221F5C" w:rsidP="00221F5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Предлагаемые в проекте </w:t>
      </w:r>
      <w:r>
        <w:rPr>
          <w:sz w:val="26"/>
          <w:szCs w:val="26"/>
        </w:rPr>
        <w:t>Бюджета</w:t>
      </w:r>
      <w:r w:rsidRPr="003D4C62">
        <w:rPr>
          <w:sz w:val="26"/>
          <w:szCs w:val="26"/>
        </w:rPr>
        <w:t xml:space="preserve"> изменения основных характеристик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представлены в таблице 1.</w:t>
      </w:r>
    </w:p>
    <w:p w:rsidR="00221F5C" w:rsidRPr="00B37940" w:rsidRDefault="00221F5C" w:rsidP="00221F5C">
      <w:pPr>
        <w:ind w:firstLine="709"/>
        <w:jc w:val="right"/>
      </w:pPr>
      <w:r>
        <w:t>Таблица  1(</w:t>
      </w:r>
      <w:r w:rsidRPr="00B37940">
        <w:t>тыс. рублей</w:t>
      </w:r>
      <w:r>
        <w:t>)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851"/>
        <w:gridCol w:w="850"/>
        <w:gridCol w:w="850"/>
        <w:gridCol w:w="851"/>
        <w:gridCol w:w="880"/>
        <w:gridCol w:w="851"/>
      </w:tblGrid>
      <w:tr w:rsidR="00221F5C" w:rsidRPr="00B37940" w:rsidTr="005C2560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8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221F5C" w:rsidRPr="00B37940" w:rsidTr="005C2560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221F5C" w:rsidRPr="00B37940" w:rsidTr="005C2560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</w:tr>
      <w:tr w:rsidR="00A85DFB" w:rsidRPr="00012361" w:rsidTr="005C2560">
        <w:tc>
          <w:tcPr>
            <w:tcW w:w="2268" w:type="dxa"/>
            <w:tcBorders>
              <w:top w:val="single" w:sz="12" w:space="0" w:color="000000"/>
            </w:tcBorders>
          </w:tcPr>
          <w:p w:rsidR="00A85DFB" w:rsidRPr="00012361" w:rsidRDefault="00A85DFB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432 646,3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430 693,1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432 963,0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434413,6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430352,9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432520,2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+1767,3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-340,2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-442,8</w:t>
            </w:r>
          </w:p>
        </w:tc>
      </w:tr>
      <w:tr w:rsidR="00A85DFB" w:rsidRPr="00012361" w:rsidTr="005C2560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85DFB" w:rsidRPr="00012361" w:rsidRDefault="00A85DFB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A85DFB" w:rsidRPr="00A85DFB" w:rsidRDefault="00A85DFB" w:rsidP="00A85DFB">
            <w:pPr>
              <w:jc w:val="center"/>
              <w:rPr>
                <w:i/>
                <w:sz w:val="16"/>
                <w:szCs w:val="16"/>
              </w:rPr>
            </w:pPr>
            <w:r w:rsidRPr="00A85DFB">
              <w:rPr>
                <w:i/>
                <w:sz w:val="16"/>
                <w:szCs w:val="16"/>
              </w:rPr>
              <w:t>304 031,3</w:t>
            </w:r>
          </w:p>
        </w:tc>
        <w:tc>
          <w:tcPr>
            <w:tcW w:w="919" w:type="dxa"/>
            <w:vAlign w:val="center"/>
          </w:tcPr>
          <w:p w:rsidR="00A85DFB" w:rsidRPr="00A85DFB" w:rsidRDefault="00A85DFB" w:rsidP="00A85DFB">
            <w:pPr>
              <w:jc w:val="center"/>
              <w:rPr>
                <w:i/>
                <w:sz w:val="16"/>
                <w:szCs w:val="16"/>
              </w:rPr>
            </w:pPr>
            <w:r w:rsidRPr="00A85DFB">
              <w:rPr>
                <w:i/>
                <w:sz w:val="16"/>
                <w:szCs w:val="16"/>
              </w:rPr>
              <w:t>302 699,1</w:t>
            </w:r>
          </w:p>
        </w:tc>
        <w:tc>
          <w:tcPr>
            <w:tcW w:w="938" w:type="dxa"/>
            <w:vAlign w:val="center"/>
          </w:tcPr>
          <w:p w:rsidR="00A85DFB" w:rsidRPr="00A85DFB" w:rsidRDefault="00A85DFB" w:rsidP="00A85DFB">
            <w:pPr>
              <w:jc w:val="center"/>
              <w:rPr>
                <w:i/>
                <w:sz w:val="16"/>
                <w:szCs w:val="16"/>
              </w:rPr>
            </w:pPr>
            <w:r w:rsidRPr="00A85DFB">
              <w:rPr>
                <w:i/>
                <w:sz w:val="16"/>
                <w:szCs w:val="16"/>
              </w:rPr>
              <w:t>302 784,0</w:t>
            </w:r>
          </w:p>
        </w:tc>
        <w:tc>
          <w:tcPr>
            <w:tcW w:w="851" w:type="dxa"/>
            <w:vAlign w:val="center"/>
          </w:tcPr>
          <w:p w:rsidR="00A85DFB" w:rsidRPr="005C2560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5C2560">
              <w:rPr>
                <w:i/>
                <w:sz w:val="16"/>
                <w:szCs w:val="16"/>
              </w:rPr>
              <w:t>305798,6</w:t>
            </w:r>
          </w:p>
        </w:tc>
        <w:tc>
          <w:tcPr>
            <w:tcW w:w="850" w:type="dxa"/>
            <w:vAlign w:val="center"/>
          </w:tcPr>
          <w:p w:rsidR="00A85DFB" w:rsidRPr="005C2560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5C2560">
              <w:rPr>
                <w:i/>
                <w:sz w:val="16"/>
                <w:szCs w:val="16"/>
              </w:rPr>
              <w:t>302358,9</w:t>
            </w:r>
          </w:p>
        </w:tc>
        <w:tc>
          <w:tcPr>
            <w:tcW w:w="850" w:type="dxa"/>
            <w:vAlign w:val="center"/>
          </w:tcPr>
          <w:p w:rsidR="00A85DFB" w:rsidRPr="005C2560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5C2560">
              <w:rPr>
                <w:i/>
                <w:sz w:val="16"/>
                <w:szCs w:val="16"/>
              </w:rPr>
              <w:t>302341,2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+1767,3</w:t>
            </w:r>
          </w:p>
        </w:tc>
        <w:tc>
          <w:tcPr>
            <w:tcW w:w="880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-340,2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-442,8</w:t>
            </w:r>
          </w:p>
        </w:tc>
      </w:tr>
      <w:tr w:rsidR="00A85DFB" w:rsidRPr="00012361" w:rsidTr="005C2560">
        <w:tc>
          <w:tcPr>
            <w:tcW w:w="2268" w:type="dxa"/>
          </w:tcPr>
          <w:p w:rsidR="00A85DFB" w:rsidRPr="00012361" w:rsidRDefault="00A85DFB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</w:p>
        </w:tc>
        <w:tc>
          <w:tcPr>
            <w:tcW w:w="900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445 507,8</w:t>
            </w:r>
          </w:p>
        </w:tc>
        <w:tc>
          <w:tcPr>
            <w:tcW w:w="919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439 732,5</w:t>
            </w:r>
          </w:p>
        </w:tc>
        <w:tc>
          <w:tcPr>
            <w:tcW w:w="938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442 187,2</w:t>
            </w:r>
          </w:p>
        </w:tc>
        <w:tc>
          <w:tcPr>
            <w:tcW w:w="851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434413,6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430352,9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432520,2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-11094,2</w:t>
            </w:r>
          </w:p>
        </w:tc>
        <w:tc>
          <w:tcPr>
            <w:tcW w:w="880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-9379,6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-9667,0</w:t>
            </w:r>
          </w:p>
        </w:tc>
      </w:tr>
      <w:tr w:rsidR="00A85DFB" w:rsidRPr="00012361" w:rsidTr="005C2560">
        <w:tc>
          <w:tcPr>
            <w:tcW w:w="2268" w:type="dxa"/>
          </w:tcPr>
          <w:p w:rsidR="00A85DFB" w:rsidRPr="00012361" w:rsidRDefault="00A85DFB" w:rsidP="00FE7869">
            <w:pPr>
              <w:autoSpaceDE w:val="0"/>
              <w:autoSpaceDN w:val="0"/>
              <w:adjustRightInd w:val="0"/>
            </w:pPr>
            <w:r w:rsidRPr="00012361">
              <w:lastRenderedPageBreak/>
              <w:t>Дефицит бюджета</w:t>
            </w:r>
          </w:p>
        </w:tc>
        <w:tc>
          <w:tcPr>
            <w:tcW w:w="900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- 12 861,5</w:t>
            </w:r>
          </w:p>
        </w:tc>
        <w:tc>
          <w:tcPr>
            <w:tcW w:w="919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-9 039,4</w:t>
            </w:r>
          </w:p>
        </w:tc>
        <w:tc>
          <w:tcPr>
            <w:tcW w:w="938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-9 224,2</w:t>
            </w:r>
          </w:p>
        </w:tc>
        <w:tc>
          <w:tcPr>
            <w:tcW w:w="851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12861,5</w:t>
            </w:r>
          </w:p>
        </w:tc>
        <w:tc>
          <w:tcPr>
            <w:tcW w:w="880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9039,4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9224,2</w:t>
            </w:r>
          </w:p>
        </w:tc>
      </w:tr>
      <w:tr w:rsidR="00A85DFB" w:rsidRPr="00012361" w:rsidTr="005C2560">
        <w:tc>
          <w:tcPr>
            <w:tcW w:w="2268" w:type="dxa"/>
          </w:tcPr>
          <w:p w:rsidR="00A85DFB" w:rsidRPr="007504BC" w:rsidRDefault="00A85DFB" w:rsidP="00FE7869">
            <w:r w:rsidRPr="007504BC">
              <w:t>Верхний предел муниципального внутреннего долга</w:t>
            </w:r>
          </w:p>
        </w:tc>
        <w:tc>
          <w:tcPr>
            <w:tcW w:w="900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3 880,6</w:t>
            </w:r>
          </w:p>
        </w:tc>
        <w:tc>
          <w:tcPr>
            <w:tcW w:w="919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2 947,3</w:t>
            </w:r>
          </w:p>
        </w:tc>
        <w:tc>
          <w:tcPr>
            <w:tcW w:w="938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2 014,0</w:t>
            </w:r>
          </w:p>
        </w:tc>
        <w:tc>
          <w:tcPr>
            <w:tcW w:w="851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15916,1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12035,5</w:t>
            </w:r>
          </w:p>
        </w:tc>
        <w:tc>
          <w:tcPr>
            <w:tcW w:w="880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12968,8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13902,1</w:t>
            </w:r>
          </w:p>
        </w:tc>
      </w:tr>
      <w:tr w:rsidR="00A85DFB" w:rsidRPr="00012361" w:rsidTr="005C2560">
        <w:tc>
          <w:tcPr>
            <w:tcW w:w="2268" w:type="dxa"/>
          </w:tcPr>
          <w:p w:rsidR="00A85DFB" w:rsidRPr="007504BC" w:rsidRDefault="00A85DFB" w:rsidP="00FE7869">
            <w:r w:rsidRPr="007504BC">
              <w:t>Предельный объем муниципального долга</w:t>
            </w:r>
          </w:p>
        </w:tc>
        <w:tc>
          <w:tcPr>
            <w:tcW w:w="900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128 615,0</w:t>
            </w:r>
          </w:p>
        </w:tc>
        <w:tc>
          <w:tcPr>
            <w:tcW w:w="919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127 994,0</w:t>
            </w:r>
          </w:p>
        </w:tc>
        <w:tc>
          <w:tcPr>
            <w:tcW w:w="938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130 179,0</w:t>
            </w:r>
          </w:p>
        </w:tc>
        <w:tc>
          <w:tcPr>
            <w:tcW w:w="851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128615,0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127994,0</w:t>
            </w:r>
          </w:p>
        </w:tc>
        <w:tc>
          <w:tcPr>
            <w:tcW w:w="850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130179,0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A85DFB" w:rsidRPr="00012361" w:rsidTr="005C2560">
        <w:tc>
          <w:tcPr>
            <w:tcW w:w="2268" w:type="dxa"/>
          </w:tcPr>
          <w:p w:rsidR="00A85DFB" w:rsidRPr="007504BC" w:rsidRDefault="00A85DFB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16,0</w:t>
            </w:r>
          </w:p>
        </w:tc>
        <w:tc>
          <w:tcPr>
            <w:tcW w:w="919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3,9</w:t>
            </w:r>
          </w:p>
        </w:tc>
        <w:tc>
          <w:tcPr>
            <w:tcW w:w="938" w:type="dxa"/>
            <w:vAlign w:val="center"/>
          </w:tcPr>
          <w:p w:rsidR="00A85DFB" w:rsidRPr="00A85DFB" w:rsidRDefault="00A85DFB" w:rsidP="00A85DFB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A85DFB" w:rsidRPr="007E1477" w:rsidRDefault="00A85DFB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vAlign w:val="center"/>
          </w:tcPr>
          <w:p w:rsidR="00A85DFB" w:rsidRPr="007E1477" w:rsidRDefault="00D308A3" w:rsidP="00D308A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850" w:type="dxa"/>
            <w:vAlign w:val="center"/>
          </w:tcPr>
          <w:p w:rsidR="00A85DFB" w:rsidRPr="007E1477" w:rsidRDefault="00D308A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85DFB" w:rsidRPr="007E1477" w:rsidRDefault="005C256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</w:tbl>
    <w:p w:rsidR="00221F5C" w:rsidRPr="007802A5" w:rsidRDefault="00221F5C" w:rsidP="00221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Согласно проекту </w:t>
      </w:r>
      <w:r w:rsidR="0004064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доходы бюджета </w:t>
      </w:r>
      <w:r w:rsidR="00A50B1D">
        <w:rPr>
          <w:sz w:val="26"/>
          <w:szCs w:val="26"/>
        </w:rPr>
        <w:t xml:space="preserve">муниципального образования «Каракулинский район» </w:t>
      </w:r>
      <w:r>
        <w:rPr>
          <w:sz w:val="26"/>
          <w:szCs w:val="26"/>
        </w:rPr>
        <w:t>на 201</w:t>
      </w:r>
      <w:r w:rsidR="00040646">
        <w:rPr>
          <w:sz w:val="26"/>
          <w:szCs w:val="26"/>
        </w:rPr>
        <w:t>9</w:t>
      </w:r>
      <w:r w:rsidR="0069159C">
        <w:rPr>
          <w:sz w:val="26"/>
          <w:szCs w:val="26"/>
        </w:rPr>
        <w:t xml:space="preserve"> год увеличиваю</w:t>
      </w:r>
      <w:r>
        <w:rPr>
          <w:sz w:val="26"/>
          <w:szCs w:val="26"/>
        </w:rPr>
        <w:t xml:space="preserve">тся </w:t>
      </w:r>
      <w:r w:rsidRPr="00B46EBC">
        <w:rPr>
          <w:sz w:val="26"/>
          <w:szCs w:val="26"/>
        </w:rPr>
        <w:t>на сумму</w:t>
      </w:r>
      <w:r>
        <w:rPr>
          <w:sz w:val="26"/>
          <w:szCs w:val="26"/>
        </w:rPr>
        <w:t xml:space="preserve"> </w:t>
      </w:r>
      <w:r w:rsidR="00040646">
        <w:rPr>
          <w:sz w:val="26"/>
          <w:szCs w:val="26"/>
        </w:rPr>
        <w:t>1767,3 тыс. рублей,</w:t>
      </w:r>
      <w:r>
        <w:rPr>
          <w:sz w:val="26"/>
          <w:szCs w:val="26"/>
        </w:rPr>
        <w:t xml:space="preserve"> расходы </w:t>
      </w:r>
      <w:r w:rsidR="00040646">
        <w:rPr>
          <w:sz w:val="26"/>
          <w:szCs w:val="26"/>
        </w:rPr>
        <w:t>уменьшены</w:t>
      </w:r>
      <w:r>
        <w:rPr>
          <w:sz w:val="26"/>
          <w:szCs w:val="26"/>
        </w:rPr>
        <w:t xml:space="preserve"> на </w:t>
      </w:r>
      <w:r w:rsidR="00040646">
        <w:rPr>
          <w:sz w:val="26"/>
          <w:szCs w:val="26"/>
        </w:rPr>
        <w:t>11094,2</w:t>
      </w:r>
      <w:r>
        <w:rPr>
          <w:sz w:val="26"/>
          <w:szCs w:val="26"/>
        </w:rPr>
        <w:t xml:space="preserve"> тыс. рублей, размер дефицита бюджета </w:t>
      </w:r>
      <w:r w:rsidR="00040646">
        <w:rPr>
          <w:sz w:val="26"/>
          <w:szCs w:val="26"/>
        </w:rPr>
        <w:t>уменьшен</w:t>
      </w:r>
      <w:r>
        <w:rPr>
          <w:sz w:val="26"/>
          <w:szCs w:val="26"/>
        </w:rPr>
        <w:t xml:space="preserve"> на </w:t>
      </w:r>
      <w:r w:rsidR="00040646">
        <w:rPr>
          <w:sz w:val="26"/>
          <w:szCs w:val="26"/>
        </w:rPr>
        <w:t>12861,5</w:t>
      </w:r>
      <w:r>
        <w:rPr>
          <w:sz w:val="26"/>
          <w:szCs w:val="26"/>
        </w:rPr>
        <w:t xml:space="preserve"> тыс. рублей и составит </w:t>
      </w:r>
      <w:r w:rsidR="00040646">
        <w:rPr>
          <w:sz w:val="26"/>
          <w:szCs w:val="26"/>
        </w:rPr>
        <w:t>0, верхний предел муниципального внутреннего долга увеличен на 12035,5 тыс. рублей.</w:t>
      </w:r>
    </w:p>
    <w:p w:rsidR="00FE7869" w:rsidRDefault="001114F0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Бюджета</w:t>
      </w:r>
      <w:r w:rsidRPr="00E22BB4">
        <w:rPr>
          <w:sz w:val="26"/>
          <w:szCs w:val="26"/>
        </w:rPr>
        <w:t xml:space="preserve"> доходную часть бюджета </w:t>
      </w:r>
      <w:r w:rsidR="0069159C">
        <w:rPr>
          <w:sz w:val="26"/>
          <w:szCs w:val="26"/>
        </w:rPr>
        <w:t xml:space="preserve">муниципального образования «Каракулинский район» </w:t>
      </w:r>
      <w:r w:rsidR="00F01A9B">
        <w:rPr>
          <w:sz w:val="26"/>
          <w:szCs w:val="26"/>
        </w:rPr>
        <w:t xml:space="preserve">на 2019 год </w:t>
      </w:r>
      <w:r w:rsidRPr="00E22BB4">
        <w:rPr>
          <w:sz w:val="26"/>
          <w:szCs w:val="26"/>
        </w:rPr>
        <w:t xml:space="preserve">предлагается </w:t>
      </w:r>
      <w:r w:rsidR="00FE7869">
        <w:rPr>
          <w:sz w:val="26"/>
          <w:szCs w:val="26"/>
        </w:rPr>
        <w:t>изменить</w:t>
      </w:r>
      <w:r w:rsidRPr="00E22BB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1767,3 </w:t>
      </w:r>
      <w:r w:rsidRPr="00E22BB4">
        <w:rPr>
          <w:sz w:val="26"/>
          <w:szCs w:val="26"/>
        </w:rPr>
        <w:t>тыс. рублей за счёт межбюджетных трансфертов, выделенных из бюджета</w:t>
      </w:r>
      <w:r>
        <w:rPr>
          <w:sz w:val="26"/>
          <w:szCs w:val="26"/>
        </w:rPr>
        <w:t xml:space="preserve"> Удмуртской Республики</w:t>
      </w:r>
      <w:r w:rsidR="00FE7869">
        <w:rPr>
          <w:sz w:val="26"/>
          <w:szCs w:val="26"/>
        </w:rPr>
        <w:t>, в том числе:</w:t>
      </w:r>
    </w:p>
    <w:p w:rsidR="00FE7869" w:rsidRDefault="00FE7869" w:rsidP="00111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увеличить на 2220,2 тыс. рублей;</w:t>
      </w:r>
    </w:p>
    <w:p w:rsidR="001114F0" w:rsidRPr="00E22BB4" w:rsidRDefault="00FE7869" w:rsidP="001114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уменьшить на 452,9 тыс. рублей</w:t>
      </w:r>
      <w:r w:rsidR="00EA131B">
        <w:rPr>
          <w:sz w:val="26"/>
          <w:szCs w:val="26"/>
        </w:rPr>
        <w:t>.</w:t>
      </w:r>
      <w:r w:rsidR="001114F0">
        <w:rPr>
          <w:sz w:val="26"/>
          <w:szCs w:val="26"/>
        </w:rPr>
        <w:t xml:space="preserve"> </w:t>
      </w:r>
    </w:p>
    <w:p w:rsidR="00221F5C" w:rsidRPr="00055F1F" w:rsidRDefault="00221F5C" w:rsidP="00221F5C">
      <w:pPr>
        <w:ind w:firstLine="709"/>
        <w:jc w:val="both"/>
        <w:rPr>
          <w:sz w:val="26"/>
          <w:szCs w:val="26"/>
        </w:rPr>
      </w:pPr>
      <w:r w:rsidRPr="00055F1F">
        <w:rPr>
          <w:sz w:val="26"/>
          <w:szCs w:val="26"/>
        </w:rPr>
        <w:t xml:space="preserve">Информация об изменении </w:t>
      </w:r>
      <w:r>
        <w:rPr>
          <w:sz w:val="26"/>
          <w:szCs w:val="26"/>
        </w:rPr>
        <w:t xml:space="preserve">общего </w:t>
      </w:r>
      <w:r w:rsidRPr="00055F1F">
        <w:rPr>
          <w:sz w:val="26"/>
          <w:szCs w:val="26"/>
        </w:rPr>
        <w:t>объём</w:t>
      </w:r>
      <w:r>
        <w:rPr>
          <w:sz w:val="26"/>
          <w:szCs w:val="26"/>
        </w:rPr>
        <w:t>а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доходов бюджета</w:t>
      </w:r>
      <w:r w:rsidRPr="00055F1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образования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«Каракулинский район»</w:t>
      </w:r>
      <w:r w:rsidRPr="00055F1F">
        <w:rPr>
          <w:sz w:val="26"/>
          <w:szCs w:val="26"/>
        </w:rPr>
        <w:t xml:space="preserve"> представлена в таблице 2</w:t>
      </w:r>
      <w:r>
        <w:rPr>
          <w:sz w:val="26"/>
          <w:szCs w:val="26"/>
        </w:rPr>
        <w:t>.</w:t>
      </w:r>
    </w:p>
    <w:p w:rsidR="00221F5C" w:rsidRPr="00B37940" w:rsidRDefault="00221F5C" w:rsidP="00221F5C">
      <w:pPr>
        <w:ind w:firstLine="709"/>
        <w:jc w:val="right"/>
      </w:pPr>
      <w:r>
        <w:t>Таблица  2</w:t>
      </w:r>
      <w:r w:rsidRPr="00B37940">
        <w:t xml:space="preserve">  </w:t>
      </w:r>
      <w:r>
        <w:t>(</w:t>
      </w:r>
      <w:r w:rsidRPr="00B37940">
        <w:t>тыс. рублей</w:t>
      </w:r>
      <w: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221F5C" w:rsidRPr="007F621A" w:rsidTr="00526AF8">
        <w:trPr>
          <w:trHeight w:val="230"/>
        </w:trPr>
        <w:tc>
          <w:tcPr>
            <w:tcW w:w="9039" w:type="dxa"/>
            <w:vMerge w:val="restart"/>
          </w:tcPr>
          <w:p w:rsidR="00221F5C" w:rsidRPr="007F621A" w:rsidRDefault="00221F5C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34" w:type="dxa"/>
            <w:vMerge w:val="restart"/>
          </w:tcPr>
          <w:p w:rsidR="00221F5C" w:rsidRPr="007F621A" w:rsidRDefault="00221F5C" w:rsidP="00F01A9B">
            <w:pPr>
              <w:jc w:val="both"/>
            </w:pPr>
            <w:r w:rsidRPr="007F621A">
              <w:t>201</w:t>
            </w:r>
            <w:r w:rsidR="00F01A9B">
              <w:t>9</w:t>
            </w:r>
            <w:r w:rsidRPr="007F621A">
              <w:t xml:space="preserve"> г.</w:t>
            </w:r>
          </w:p>
        </w:tc>
      </w:tr>
      <w:tr w:rsidR="00221F5C" w:rsidRPr="007F621A" w:rsidTr="00526AF8">
        <w:trPr>
          <w:trHeight w:val="230"/>
        </w:trPr>
        <w:tc>
          <w:tcPr>
            <w:tcW w:w="9039" w:type="dxa"/>
            <w:vMerge/>
          </w:tcPr>
          <w:p w:rsidR="00221F5C" w:rsidRPr="007F621A" w:rsidRDefault="00221F5C" w:rsidP="00FE7869">
            <w:pPr>
              <w:jc w:val="both"/>
            </w:pPr>
          </w:p>
        </w:tc>
        <w:tc>
          <w:tcPr>
            <w:tcW w:w="1134" w:type="dxa"/>
            <w:vMerge/>
          </w:tcPr>
          <w:p w:rsidR="00221F5C" w:rsidRPr="007F621A" w:rsidRDefault="00221F5C" w:rsidP="00FE7869">
            <w:pPr>
              <w:jc w:val="both"/>
            </w:pPr>
          </w:p>
        </w:tc>
      </w:tr>
      <w:tr w:rsidR="00221F5C" w:rsidRPr="001B7E80" w:rsidTr="00526AF8">
        <w:tc>
          <w:tcPr>
            <w:tcW w:w="9039" w:type="dxa"/>
          </w:tcPr>
          <w:p w:rsidR="00221F5C" w:rsidRPr="001B7E80" w:rsidRDefault="00221F5C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221F5C" w:rsidRPr="001B7E80" w:rsidRDefault="00221F5C" w:rsidP="008D2C11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 xml:space="preserve">+ </w:t>
            </w:r>
            <w:r w:rsidR="008D2C11">
              <w:rPr>
                <w:b/>
                <w:i/>
                <w:sz w:val="22"/>
                <w:szCs w:val="22"/>
              </w:rPr>
              <w:t>1767,3</w:t>
            </w:r>
          </w:p>
        </w:tc>
      </w:tr>
      <w:tr w:rsidR="00221F5C" w:rsidRPr="001B7E80" w:rsidTr="00526AF8">
        <w:tc>
          <w:tcPr>
            <w:tcW w:w="9039" w:type="dxa"/>
          </w:tcPr>
          <w:p w:rsidR="00221F5C" w:rsidRPr="001B7E80" w:rsidRDefault="00221F5C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221F5C" w:rsidRPr="001B7E80" w:rsidRDefault="00221F5C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 xml:space="preserve">+ </w:t>
            </w:r>
            <w:r w:rsidR="008D2C11">
              <w:rPr>
                <w:sz w:val="22"/>
                <w:szCs w:val="22"/>
              </w:rPr>
              <w:t>179,3</w:t>
            </w:r>
          </w:p>
        </w:tc>
      </w:tr>
      <w:tr w:rsidR="00221F5C" w:rsidRPr="001B7E80" w:rsidTr="00526AF8">
        <w:tc>
          <w:tcPr>
            <w:tcW w:w="9039" w:type="dxa"/>
          </w:tcPr>
          <w:p w:rsidR="00221F5C" w:rsidRPr="001B7E80" w:rsidRDefault="00221F5C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221F5C" w:rsidRPr="001B7E80" w:rsidRDefault="00221F5C" w:rsidP="008D2C11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 xml:space="preserve">+ </w:t>
            </w:r>
            <w:r w:rsidR="008D2C11">
              <w:rPr>
                <w:sz w:val="22"/>
                <w:szCs w:val="22"/>
              </w:rPr>
              <w:t>25,5</w:t>
            </w:r>
          </w:p>
        </w:tc>
      </w:tr>
      <w:tr w:rsidR="008D2C11" w:rsidRPr="007C38D0" w:rsidTr="00526AF8">
        <w:tc>
          <w:tcPr>
            <w:tcW w:w="9039" w:type="dxa"/>
          </w:tcPr>
          <w:p w:rsidR="008D2C11" w:rsidRPr="007C38D0" w:rsidRDefault="007C38D0" w:rsidP="00FE7869">
            <w:pPr>
              <w:jc w:val="both"/>
              <w:rPr>
                <w:sz w:val="22"/>
                <w:szCs w:val="22"/>
              </w:rPr>
            </w:pPr>
            <w:r w:rsidRPr="007C38D0">
              <w:rPr>
                <w:sz w:val="22"/>
                <w:szCs w:val="22"/>
              </w:rPr>
              <w:t xml:space="preserve">Субвенции на  осуществление отдельных государственных полномочий по предоставлению мер социальной поддержки многодетным семьям </w:t>
            </w:r>
          </w:p>
        </w:tc>
        <w:tc>
          <w:tcPr>
            <w:tcW w:w="1134" w:type="dxa"/>
          </w:tcPr>
          <w:p w:rsidR="008D2C11" w:rsidRPr="007C38D0" w:rsidRDefault="008D2C11" w:rsidP="008D2C11">
            <w:pPr>
              <w:jc w:val="both"/>
              <w:rPr>
                <w:sz w:val="22"/>
                <w:szCs w:val="22"/>
              </w:rPr>
            </w:pPr>
            <w:r w:rsidRPr="007C38D0">
              <w:rPr>
                <w:sz w:val="22"/>
                <w:szCs w:val="22"/>
              </w:rPr>
              <w:t>-452,9</w:t>
            </w:r>
          </w:p>
        </w:tc>
      </w:tr>
      <w:tr w:rsidR="007C38D0" w:rsidRPr="007C38D0" w:rsidTr="00526AF8">
        <w:tc>
          <w:tcPr>
            <w:tcW w:w="9039" w:type="dxa"/>
          </w:tcPr>
          <w:p w:rsidR="007C38D0" w:rsidRPr="007C38D0" w:rsidRDefault="007C38D0" w:rsidP="00FE7869">
            <w:pPr>
              <w:jc w:val="both"/>
              <w:rPr>
                <w:sz w:val="22"/>
                <w:szCs w:val="22"/>
              </w:rPr>
            </w:pPr>
            <w:r w:rsidRPr="007C38D0">
              <w:rPr>
                <w:sz w:val="22"/>
                <w:szCs w:val="22"/>
              </w:rPr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7C38D0" w:rsidRPr="007C38D0" w:rsidRDefault="007C38D0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+4,2</w:t>
            </w:r>
          </w:p>
        </w:tc>
      </w:tr>
      <w:tr w:rsidR="00221F5C" w:rsidRPr="001B7E80" w:rsidTr="00526AF8">
        <w:tc>
          <w:tcPr>
            <w:tcW w:w="9039" w:type="dxa"/>
          </w:tcPr>
          <w:p w:rsidR="00221F5C" w:rsidRPr="001B7E80" w:rsidRDefault="00221F5C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34" w:type="dxa"/>
          </w:tcPr>
          <w:p w:rsidR="00221F5C" w:rsidRPr="001B7E80" w:rsidRDefault="00221F5C" w:rsidP="00FE7869">
            <w:pPr>
              <w:jc w:val="both"/>
              <w:rPr>
                <w:sz w:val="22"/>
                <w:szCs w:val="22"/>
              </w:rPr>
            </w:pPr>
            <w:r w:rsidRPr="001B7E80">
              <w:rPr>
                <w:sz w:val="22"/>
                <w:szCs w:val="22"/>
              </w:rPr>
              <w:t>+</w:t>
            </w:r>
            <w:r w:rsidR="007C38D0">
              <w:rPr>
                <w:sz w:val="22"/>
                <w:szCs w:val="22"/>
              </w:rPr>
              <w:t>62,0</w:t>
            </w:r>
          </w:p>
        </w:tc>
      </w:tr>
      <w:tr w:rsidR="007C38D0" w:rsidRPr="001B7E80" w:rsidTr="00526AF8">
        <w:tc>
          <w:tcPr>
            <w:tcW w:w="9039" w:type="dxa"/>
          </w:tcPr>
          <w:p w:rsidR="007C38D0" w:rsidRPr="00954894" w:rsidRDefault="007C38D0" w:rsidP="00FE7869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954894">
              <w:rPr>
                <w:sz w:val="22"/>
                <w:szCs w:val="22"/>
              </w:rPr>
              <w:t>обучающихся и воспитывающихся в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7C38D0" w:rsidRPr="001B7E80" w:rsidRDefault="007C38D0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+1837,7</w:t>
            </w:r>
          </w:p>
        </w:tc>
      </w:tr>
      <w:tr w:rsidR="007C38D0" w:rsidRPr="0062722B" w:rsidTr="00526AF8">
        <w:tc>
          <w:tcPr>
            <w:tcW w:w="9039" w:type="dxa"/>
          </w:tcPr>
          <w:p w:rsidR="007C38D0" w:rsidRPr="0062722B" w:rsidRDefault="0062722B" w:rsidP="00FE7869">
            <w:pPr>
              <w:jc w:val="both"/>
              <w:rPr>
                <w:sz w:val="22"/>
                <w:szCs w:val="22"/>
              </w:rPr>
            </w:pPr>
            <w:r w:rsidRPr="0062722B">
              <w:rPr>
                <w:sz w:val="22"/>
                <w:szCs w:val="22"/>
              </w:rPr>
              <w:t>Субвенции 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7C38D0" w:rsidRPr="0062722B" w:rsidRDefault="0062722B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+0,4</w:t>
            </w:r>
          </w:p>
        </w:tc>
      </w:tr>
      <w:tr w:rsidR="007C38D0" w:rsidRPr="0062722B" w:rsidTr="00526AF8">
        <w:tc>
          <w:tcPr>
            <w:tcW w:w="9039" w:type="dxa"/>
          </w:tcPr>
          <w:p w:rsidR="007C38D0" w:rsidRPr="0062722B" w:rsidRDefault="0062722B" w:rsidP="00FE7869">
            <w:pPr>
              <w:jc w:val="both"/>
              <w:rPr>
                <w:sz w:val="22"/>
                <w:szCs w:val="22"/>
              </w:rPr>
            </w:pPr>
            <w:r w:rsidRPr="0062722B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</w:tcPr>
          <w:p w:rsidR="007C38D0" w:rsidRPr="0062722B" w:rsidRDefault="0062722B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+15,5</w:t>
            </w:r>
          </w:p>
        </w:tc>
      </w:tr>
      <w:tr w:rsidR="009D279D" w:rsidRPr="001B7E80" w:rsidTr="00526AF8">
        <w:tc>
          <w:tcPr>
            <w:tcW w:w="9039" w:type="dxa"/>
          </w:tcPr>
          <w:p w:rsidR="009D279D" w:rsidRPr="00954894" w:rsidRDefault="009D279D" w:rsidP="00FE7869">
            <w:pPr>
              <w:jc w:val="both"/>
              <w:rPr>
                <w:sz w:val="22"/>
                <w:szCs w:val="22"/>
              </w:rPr>
            </w:pPr>
            <w:r w:rsidRPr="00954894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</w:t>
            </w:r>
            <w:r>
              <w:rPr>
                <w:sz w:val="22"/>
                <w:szCs w:val="22"/>
              </w:rPr>
              <w:t>наделении органов местного само</w:t>
            </w:r>
            <w:r w:rsidRPr="00954894">
              <w:rPr>
                <w:sz w:val="22"/>
                <w:szCs w:val="22"/>
              </w:rPr>
              <w:t>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134" w:type="dxa"/>
          </w:tcPr>
          <w:p w:rsidR="009D279D" w:rsidRPr="001B7E80" w:rsidRDefault="009D279D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+1,1</w:t>
            </w:r>
          </w:p>
        </w:tc>
      </w:tr>
      <w:tr w:rsidR="009D279D" w:rsidRPr="009D279D" w:rsidTr="00526AF8">
        <w:tc>
          <w:tcPr>
            <w:tcW w:w="9039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 w:rsidRPr="009D279D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+3,0</w:t>
            </w:r>
          </w:p>
        </w:tc>
      </w:tr>
      <w:tr w:rsidR="009D279D" w:rsidRPr="009D279D" w:rsidTr="00526AF8">
        <w:tc>
          <w:tcPr>
            <w:tcW w:w="9039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 w:rsidRPr="009D279D">
              <w:rPr>
                <w:sz w:val="22"/>
                <w:szCs w:val="22"/>
              </w:rPr>
              <w:lastRenderedPageBreak/>
              <w:t>Субвенции по отлову и содержанию безнадзорных животных</w:t>
            </w:r>
          </w:p>
        </w:tc>
        <w:tc>
          <w:tcPr>
            <w:tcW w:w="1134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+68,8</w:t>
            </w:r>
          </w:p>
        </w:tc>
      </w:tr>
      <w:tr w:rsidR="009D279D" w:rsidRPr="009D279D" w:rsidTr="00526AF8">
        <w:tc>
          <w:tcPr>
            <w:tcW w:w="9039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 w:rsidRPr="009D279D">
              <w:rPr>
                <w:sz w:val="22"/>
                <w:szCs w:val="22"/>
              </w:rPr>
              <w:t>Субвенции  на  осуществление деятельности специалистов  осуществляющих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+9,9</w:t>
            </w:r>
          </w:p>
        </w:tc>
      </w:tr>
      <w:tr w:rsidR="009D279D" w:rsidRPr="009D279D" w:rsidTr="00526AF8">
        <w:tc>
          <w:tcPr>
            <w:tcW w:w="9039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 w:rsidRPr="009D279D">
              <w:rPr>
                <w:sz w:val="22"/>
                <w:szCs w:val="22"/>
              </w:rPr>
              <w:t>Субвенции на осуществление отдельных государственных полномочий по учёту (регистрации) многодетных семей</w:t>
            </w:r>
          </w:p>
        </w:tc>
        <w:tc>
          <w:tcPr>
            <w:tcW w:w="1134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+2,8</w:t>
            </w:r>
          </w:p>
        </w:tc>
      </w:tr>
      <w:tr w:rsidR="009D279D" w:rsidRPr="009D279D" w:rsidTr="00526AF8">
        <w:tc>
          <w:tcPr>
            <w:tcW w:w="9039" w:type="dxa"/>
          </w:tcPr>
          <w:p w:rsidR="009D279D" w:rsidRPr="009D279D" w:rsidRDefault="009D279D" w:rsidP="009D279D">
            <w:pPr>
              <w:jc w:val="both"/>
              <w:rPr>
                <w:bCs/>
                <w:sz w:val="22"/>
                <w:szCs w:val="22"/>
              </w:rPr>
            </w:pPr>
            <w:r w:rsidRPr="009D279D">
              <w:rPr>
                <w:bCs/>
                <w:sz w:val="22"/>
                <w:szCs w:val="22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9D279D" w:rsidRPr="009D279D" w:rsidRDefault="009D279D" w:rsidP="009D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</w:tr>
    </w:tbl>
    <w:p w:rsidR="00526AF8" w:rsidRPr="00526AF8" w:rsidRDefault="00FC56BC" w:rsidP="00526AF8">
      <w:pPr>
        <w:tabs>
          <w:tab w:val="left" w:pos="2340"/>
        </w:tabs>
        <w:jc w:val="both"/>
        <w:rPr>
          <w:sz w:val="26"/>
          <w:szCs w:val="26"/>
        </w:rPr>
      </w:pPr>
      <w:r w:rsidRPr="00526AF8">
        <w:rPr>
          <w:sz w:val="26"/>
          <w:szCs w:val="26"/>
        </w:rPr>
        <w:t xml:space="preserve">    </w:t>
      </w:r>
      <w:r w:rsidR="00FE7869">
        <w:rPr>
          <w:sz w:val="26"/>
          <w:szCs w:val="26"/>
        </w:rPr>
        <w:t xml:space="preserve"> </w:t>
      </w:r>
      <w:r w:rsidR="002A50C0" w:rsidRPr="00E219CF">
        <w:rPr>
          <w:sz w:val="26"/>
          <w:szCs w:val="26"/>
        </w:rPr>
        <w:t>П</w:t>
      </w:r>
      <w:r w:rsidR="00FE7869" w:rsidRPr="00E219CF">
        <w:rPr>
          <w:sz w:val="26"/>
          <w:szCs w:val="26"/>
        </w:rPr>
        <w:t xml:space="preserve">роект Бюджета </w:t>
      </w:r>
      <w:r w:rsidR="002A50C0" w:rsidRPr="00E219CF">
        <w:rPr>
          <w:sz w:val="26"/>
          <w:szCs w:val="26"/>
        </w:rPr>
        <w:t>на 2019 год не увеличен в части</w:t>
      </w:r>
      <w:r w:rsidR="00FE7869" w:rsidRPr="00E219CF">
        <w:rPr>
          <w:sz w:val="26"/>
          <w:szCs w:val="26"/>
        </w:rPr>
        <w:t xml:space="preserve"> субсид</w:t>
      </w:r>
      <w:r w:rsidR="00E219CF" w:rsidRPr="00E219CF">
        <w:rPr>
          <w:sz w:val="26"/>
          <w:szCs w:val="26"/>
        </w:rPr>
        <w:t>ии</w:t>
      </w:r>
      <w:r w:rsidR="00E219CF">
        <w:rPr>
          <w:sz w:val="26"/>
          <w:szCs w:val="26"/>
        </w:rPr>
        <w:t xml:space="preserve"> </w:t>
      </w:r>
      <w:r w:rsidR="00E219CF" w:rsidRPr="00E219CF">
        <w:rPr>
          <w:sz w:val="26"/>
          <w:szCs w:val="26"/>
        </w:rPr>
        <w:t>на содержание автомобильных дорог местного значения и искусственных сооружений на них, по которым проходят маршруты школьных автобусов в объеме 2435,4 тыс. рублей</w:t>
      </w:r>
      <w:r w:rsidR="00E219CF">
        <w:rPr>
          <w:sz w:val="26"/>
          <w:szCs w:val="26"/>
        </w:rPr>
        <w:t xml:space="preserve"> предусмотренн</w:t>
      </w:r>
      <w:r w:rsidR="006B1FE8">
        <w:rPr>
          <w:sz w:val="26"/>
          <w:szCs w:val="26"/>
        </w:rPr>
        <w:t>о</w:t>
      </w:r>
      <w:r w:rsidR="00E219CF">
        <w:rPr>
          <w:sz w:val="26"/>
          <w:szCs w:val="26"/>
        </w:rPr>
        <w:t>й</w:t>
      </w:r>
      <w:r w:rsidR="00FE7869" w:rsidRPr="00E219CF">
        <w:rPr>
          <w:sz w:val="26"/>
          <w:szCs w:val="26"/>
        </w:rPr>
        <w:t xml:space="preserve"> Законом </w:t>
      </w:r>
      <w:r w:rsidR="002D1256">
        <w:rPr>
          <w:sz w:val="26"/>
          <w:szCs w:val="26"/>
        </w:rPr>
        <w:t xml:space="preserve">Удмуртской Республики </w:t>
      </w:r>
      <w:r w:rsidR="00FE7869" w:rsidRPr="00E219CF">
        <w:rPr>
          <w:sz w:val="26"/>
          <w:szCs w:val="26"/>
        </w:rPr>
        <w:t>«О бюджете Удмуртской Республики на 2019 год и на плановый период 2020 и 2021 годов».</w:t>
      </w:r>
      <w:r w:rsidR="00526AF8" w:rsidRPr="00526AF8">
        <w:rPr>
          <w:i/>
          <w:sz w:val="26"/>
          <w:szCs w:val="26"/>
        </w:rPr>
        <w:t xml:space="preserve"> </w:t>
      </w:r>
    </w:p>
    <w:p w:rsidR="00FC56BC" w:rsidRDefault="00FC56BC" w:rsidP="00FC56BC">
      <w:pPr>
        <w:pStyle w:val="Default"/>
        <w:jc w:val="both"/>
        <w:rPr>
          <w:sz w:val="26"/>
          <w:szCs w:val="26"/>
        </w:rPr>
      </w:pPr>
    </w:p>
    <w:p w:rsidR="00FE7869" w:rsidRDefault="00FC56BC" w:rsidP="00FC56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BA646A">
        <w:rPr>
          <w:sz w:val="26"/>
          <w:szCs w:val="26"/>
        </w:rPr>
        <w:t xml:space="preserve">Объём расходов бюджета </w:t>
      </w:r>
      <w:r w:rsidR="002D1256">
        <w:rPr>
          <w:sz w:val="26"/>
          <w:szCs w:val="26"/>
        </w:rPr>
        <w:t xml:space="preserve">муниципального образования «Каракулинский район»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Бюджета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2019 год </w:t>
      </w:r>
      <w:r w:rsidRPr="00BA646A">
        <w:rPr>
          <w:sz w:val="26"/>
          <w:szCs w:val="26"/>
        </w:rPr>
        <w:t xml:space="preserve">предлагается </w:t>
      </w:r>
      <w:r w:rsidR="00FE7869">
        <w:rPr>
          <w:sz w:val="26"/>
          <w:szCs w:val="26"/>
        </w:rPr>
        <w:t>изменить</w:t>
      </w:r>
      <w:r w:rsidRPr="00BA646A">
        <w:rPr>
          <w:sz w:val="26"/>
          <w:szCs w:val="26"/>
        </w:rPr>
        <w:t xml:space="preserve"> на </w:t>
      </w:r>
      <w:r>
        <w:rPr>
          <w:sz w:val="26"/>
          <w:szCs w:val="26"/>
        </w:rPr>
        <w:t>11 094,2</w:t>
      </w:r>
      <w:r w:rsidR="00FE7869">
        <w:rPr>
          <w:sz w:val="26"/>
          <w:szCs w:val="26"/>
        </w:rPr>
        <w:t xml:space="preserve"> тыс. рублей, в том числе:</w:t>
      </w:r>
    </w:p>
    <w:p w:rsidR="00EA131B" w:rsidRDefault="00FE7869" w:rsidP="00FC56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увеличить на </w:t>
      </w:r>
      <w:r w:rsidR="00EA131B">
        <w:rPr>
          <w:sz w:val="26"/>
          <w:szCs w:val="26"/>
        </w:rPr>
        <w:t>2220,2 тыс. рублей;</w:t>
      </w:r>
    </w:p>
    <w:p w:rsidR="00FC56BC" w:rsidRPr="00BA646A" w:rsidRDefault="00EA131B" w:rsidP="00FC56BC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- уменьшить на 13314,4 тыс. рублей.</w:t>
      </w:r>
      <w:r w:rsidR="00FC56BC" w:rsidRPr="00BA646A">
        <w:rPr>
          <w:sz w:val="26"/>
          <w:szCs w:val="26"/>
        </w:rPr>
        <w:t xml:space="preserve"> </w:t>
      </w:r>
    </w:p>
    <w:p w:rsidR="00221F5C" w:rsidRDefault="00221F5C" w:rsidP="00221F5C">
      <w:pPr>
        <w:ind w:firstLine="709"/>
        <w:jc w:val="both"/>
        <w:rPr>
          <w:sz w:val="26"/>
          <w:szCs w:val="26"/>
        </w:rPr>
      </w:pPr>
    </w:p>
    <w:p w:rsidR="00FC56BC" w:rsidRDefault="00E85A78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="00FC56BC" w:rsidRPr="00012361">
        <w:rPr>
          <w:sz w:val="26"/>
          <w:szCs w:val="26"/>
        </w:rPr>
        <w:t xml:space="preserve">Анализ предлагаемых к увеличению и </w:t>
      </w:r>
      <w:r w:rsidR="00FC56BC">
        <w:rPr>
          <w:sz w:val="26"/>
          <w:szCs w:val="26"/>
        </w:rPr>
        <w:t>уменьшению</w:t>
      </w:r>
      <w:r w:rsidR="00FC56BC" w:rsidRPr="00012361">
        <w:rPr>
          <w:sz w:val="26"/>
          <w:szCs w:val="26"/>
        </w:rPr>
        <w:t xml:space="preserve"> показателей плановых назначений по расходам бюджета </w:t>
      </w:r>
      <w:r w:rsidR="002D1256">
        <w:rPr>
          <w:sz w:val="26"/>
          <w:szCs w:val="26"/>
        </w:rPr>
        <w:t xml:space="preserve">муниципального образования «Каракулинский район» </w:t>
      </w:r>
      <w:r w:rsidR="00FC56BC"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 w:rsidR="00FC56BC">
        <w:rPr>
          <w:sz w:val="26"/>
          <w:szCs w:val="26"/>
        </w:rPr>
        <w:t>3,</w:t>
      </w:r>
      <w:r w:rsidR="00FC56BC" w:rsidRPr="00012361">
        <w:rPr>
          <w:sz w:val="26"/>
          <w:szCs w:val="26"/>
        </w:rPr>
        <w:t xml:space="preserve"> в разрезе </w:t>
      </w:r>
      <w:r w:rsidR="00FC56BC">
        <w:rPr>
          <w:sz w:val="26"/>
          <w:szCs w:val="26"/>
        </w:rPr>
        <w:t xml:space="preserve">ведомственной структуре в таблице 4, </w:t>
      </w:r>
      <w:r w:rsidR="00FC56BC" w:rsidRPr="001B4124">
        <w:rPr>
          <w:sz w:val="26"/>
          <w:szCs w:val="26"/>
        </w:rPr>
        <w:t xml:space="preserve">в разрезе муниципальных программ </w:t>
      </w:r>
      <w:r w:rsidR="00FC56BC">
        <w:rPr>
          <w:sz w:val="26"/>
          <w:szCs w:val="26"/>
        </w:rPr>
        <w:t>в</w:t>
      </w:r>
      <w:r w:rsidR="00FC56BC" w:rsidRPr="001B4124">
        <w:rPr>
          <w:sz w:val="26"/>
          <w:szCs w:val="26"/>
        </w:rPr>
        <w:t xml:space="preserve"> </w:t>
      </w:r>
      <w:r w:rsidR="00FC56BC">
        <w:rPr>
          <w:sz w:val="26"/>
          <w:szCs w:val="26"/>
        </w:rPr>
        <w:t>таблице 5</w:t>
      </w:r>
      <w:r w:rsidR="00FC56BC" w:rsidRPr="001B4124">
        <w:rPr>
          <w:sz w:val="26"/>
          <w:szCs w:val="26"/>
        </w:rPr>
        <w:t xml:space="preserve">. </w:t>
      </w:r>
    </w:p>
    <w:p w:rsidR="00FC56BC" w:rsidRPr="002B1FD1" w:rsidRDefault="00FC56BC" w:rsidP="00FC56BC">
      <w:pPr>
        <w:ind w:firstLine="720"/>
        <w:jc w:val="right"/>
      </w:pPr>
      <w:r w:rsidRPr="002B1FD1">
        <w:t xml:space="preserve">Таблица </w:t>
      </w:r>
      <w:r>
        <w:t xml:space="preserve">3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FC56BC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56BC" w:rsidRPr="00F80FEA" w:rsidRDefault="00FC56BC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FC56BC" w:rsidRPr="00F80FEA" w:rsidRDefault="00FC56BC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FC56BC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56BC" w:rsidRPr="00F80FEA" w:rsidRDefault="00FC56BC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837035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</w:t>
            </w:r>
            <w:r w:rsidR="00837035">
              <w:rPr>
                <w:szCs w:val="22"/>
              </w:rPr>
              <w:t>9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837035" w:rsidP="00837035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</w:t>
            </w:r>
            <w:r w:rsidR="00FC56BC"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8370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837035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</w:tr>
      <w:tr w:rsidR="00FC56BC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F80FEA" w:rsidRDefault="00FC56BC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-6221,2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-4417,4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-4612,</w:t>
            </w:r>
            <w:r w:rsidR="00FC56BC">
              <w:rPr>
                <w:b/>
                <w:bCs/>
              </w:rPr>
              <w:t>0</w:t>
            </w:r>
          </w:p>
        </w:tc>
      </w:tr>
      <w:tr w:rsidR="00FC56BC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-6224,2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-4417,4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1C39D0">
            <w:pPr>
              <w:jc w:val="right"/>
              <w:rPr>
                <w:i/>
              </w:rPr>
            </w:pPr>
            <w:r>
              <w:rPr>
                <w:i/>
              </w:rPr>
              <w:t>-4612,0</w:t>
            </w:r>
          </w:p>
        </w:tc>
      </w:tr>
      <w:tr w:rsidR="00FC56BC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+3,0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F80FEA" w:rsidRDefault="00FC56BC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+69,9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56BC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>
              <w:rPr>
                <w:i/>
              </w:rPr>
              <w:t xml:space="preserve">Благоустройство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+68,8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Default="00FC56BC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Default="00FC56BC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Default="00FC56BC" w:rsidP="00FE7869">
            <w:pPr>
              <w:rPr>
                <w:i/>
              </w:rPr>
            </w:pPr>
            <w:r w:rsidRPr="001B10FC">
              <w:rPr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+1,1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Default="00FC56BC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180E13" w:rsidRDefault="00FC56BC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180E13" w:rsidRDefault="00FC56BC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+2042,5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-4519,4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1C39D0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-4612,2</w:t>
            </w:r>
          </w:p>
        </w:tc>
      </w:tr>
      <w:tr w:rsidR="00FC56BC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+25,5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+2017,0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1C39D0">
            <w:pPr>
              <w:jc w:val="right"/>
              <w:rPr>
                <w:i/>
              </w:rPr>
            </w:pPr>
            <w:r>
              <w:rPr>
                <w:i/>
              </w:rPr>
              <w:t>-4519,4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1C39D0" w:rsidP="001C39D0">
            <w:pPr>
              <w:jc w:val="right"/>
              <w:rPr>
                <w:i/>
              </w:rPr>
            </w:pPr>
            <w:r>
              <w:rPr>
                <w:i/>
              </w:rPr>
              <w:t>-4612,2</w:t>
            </w:r>
          </w:p>
        </w:tc>
      </w:tr>
      <w:tr w:rsidR="00FC56BC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F80FEA" w:rsidRDefault="00FC56BC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1C39D0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-442,8</w:t>
            </w:r>
          </w:p>
        </w:tc>
      </w:tr>
      <w:tr w:rsidR="00FC56BC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2034FF" w:rsidRDefault="00FC56BC" w:rsidP="00FE7869">
            <w:pPr>
              <w:rPr>
                <w:i/>
              </w:rPr>
            </w:pPr>
            <w:r w:rsidRPr="002034FF"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-452,9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-442,8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1C39D0" w:rsidP="001C39D0">
            <w:pPr>
              <w:jc w:val="right"/>
              <w:rPr>
                <w:i/>
              </w:rPr>
            </w:pPr>
            <w:r>
              <w:rPr>
                <w:i/>
              </w:rPr>
              <w:t>-442,8</w:t>
            </w:r>
          </w:p>
        </w:tc>
      </w:tr>
      <w:tr w:rsidR="00FC56BC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DE79FE" w:rsidRDefault="00FC56BC" w:rsidP="00FE7869">
            <w:pPr>
              <w:jc w:val="center"/>
              <w:rPr>
                <w:b/>
              </w:rPr>
            </w:pPr>
            <w:r w:rsidRPr="00DE79FE">
              <w:rPr>
                <w:b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FC56BC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DE79FE" w:rsidRDefault="00FC56BC" w:rsidP="00FE7869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1C39D0" w:rsidP="00FE7869">
            <w:pPr>
              <w:jc w:val="right"/>
              <w:rPr>
                <w:b/>
              </w:rPr>
            </w:pPr>
            <w:r>
              <w:rPr>
                <w:b/>
              </w:rPr>
              <w:t>-6532,5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1C39D0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FC56BC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6BC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2034FF" w:rsidRDefault="00FC56BC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</w:t>
            </w:r>
            <w:r w:rsidRPr="002034FF">
              <w:rPr>
                <w:bCs/>
                <w:i/>
                <w:color w:val="000000"/>
              </w:rPr>
              <w:t>изическ</w:t>
            </w:r>
            <w:r>
              <w:rPr>
                <w:bCs/>
                <w:i/>
                <w:color w:val="000000"/>
              </w:rPr>
              <w:t>ая</w:t>
            </w:r>
            <w:r w:rsidRPr="002034FF">
              <w:rPr>
                <w:bCs/>
                <w:i/>
                <w:color w:val="000000"/>
              </w:rPr>
              <w:t xml:space="preserve"> 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-6532,5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1C39D0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615BF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-11094,2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615BF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-9379,6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615BF0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-9667,0</w:t>
            </w:r>
          </w:p>
        </w:tc>
      </w:tr>
    </w:tbl>
    <w:p w:rsidR="00FC56BC" w:rsidRPr="00533645" w:rsidRDefault="00FC56BC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C56BC" w:rsidRPr="00941942" w:rsidRDefault="00FC56BC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FC56BC" w:rsidRPr="00941942" w:rsidRDefault="00FC56BC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FC56BC" w:rsidRPr="00012361" w:rsidRDefault="00FC56BC" w:rsidP="00FC56BC">
      <w:pPr>
        <w:jc w:val="right"/>
      </w:pPr>
      <w:r>
        <w:t xml:space="preserve">Таблица 4 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992"/>
      </w:tblGrid>
      <w:tr w:rsidR="00FC56BC" w:rsidRPr="005409A9" w:rsidTr="00FE7869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5409A9" w:rsidRDefault="00FC56BC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837035" w:rsidRPr="005409A9" w:rsidTr="00FE7869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5409A9" w:rsidRDefault="00837035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5409A9" w:rsidRDefault="00837035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F80FEA" w:rsidRDefault="00837035" w:rsidP="00FE7869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F80FEA" w:rsidRDefault="00837035" w:rsidP="00FE7869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F80FEA" w:rsidRDefault="00837035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</w:tr>
      <w:tr w:rsidR="00FC56BC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1C39D0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1C39D0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1C39D0" w:rsidP="00FE7869">
            <w:pPr>
              <w:jc w:val="right"/>
            </w:pPr>
            <w:r>
              <w:t>0</w:t>
            </w:r>
          </w:p>
        </w:tc>
      </w:tr>
      <w:tr w:rsidR="00FC56BC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Default="00FC56BC" w:rsidP="00FE7869">
            <w:pPr>
              <w:jc w:val="center"/>
            </w:pPr>
            <w:r>
              <w:lastRenderedPageBreak/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1C39D0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1C39D0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1C39D0" w:rsidP="00FE7869">
            <w:pPr>
              <w:jc w:val="right"/>
            </w:pPr>
            <w:r>
              <w:t>0</w:t>
            </w:r>
          </w:p>
        </w:tc>
      </w:tr>
      <w:tr w:rsidR="00FC56BC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615BF0" w:rsidP="00FE7869">
            <w:pPr>
              <w:jc w:val="right"/>
            </w:pPr>
            <w:r>
              <w:t>+2042,5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615BF0" w:rsidP="00FE7869">
            <w:pPr>
              <w:jc w:val="right"/>
            </w:pPr>
            <w:r>
              <w:t>-4519,4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615BF0" w:rsidP="00FE7869">
            <w:pPr>
              <w:jc w:val="right"/>
            </w:pPr>
            <w:r>
              <w:t>-4612,2</w:t>
            </w:r>
          </w:p>
        </w:tc>
      </w:tr>
      <w:tr w:rsidR="00FC56BC" w:rsidRPr="009114AD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6BC" w:rsidRPr="009114AD" w:rsidRDefault="00615BF0" w:rsidP="00FE7869">
            <w:pPr>
              <w:jc w:val="right"/>
            </w:pPr>
            <w:r>
              <w:t>-13136,7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6BC" w:rsidRPr="009114AD" w:rsidRDefault="00615BF0" w:rsidP="00FE7869">
            <w:pPr>
              <w:jc w:val="right"/>
            </w:pPr>
            <w:r>
              <w:t>-4860,2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9114AD" w:rsidRDefault="00615BF0" w:rsidP="00FE7869">
            <w:pPr>
              <w:jc w:val="right"/>
            </w:pPr>
            <w:r>
              <w:t>-5054,8</w:t>
            </w:r>
          </w:p>
        </w:tc>
      </w:tr>
      <w:tr w:rsidR="00FC56BC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615BF0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615BF0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615BF0" w:rsidP="00FE7869">
            <w:pPr>
              <w:jc w:val="right"/>
            </w:pPr>
            <w:r>
              <w:t>0</w:t>
            </w:r>
          </w:p>
        </w:tc>
      </w:tr>
      <w:tr w:rsidR="00FC56BC" w:rsidRPr="007839AD" w:rsidTr="00FE7869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7839AD" w:rsidRDefault="00FC56BC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7839AD" w:rsidRDefault="00D83D12" w:rsidP="00FE7869">
            <w:pPr>
              <w:jc w:val="right"/>
              <w:rPr>
                <w:b/>
              </w:rPr>
            </w:pPr>
            <w:r>
              <w:rPr>
                <w:b/>
              </w:rPr>
              <w:t>-11094,2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7839AD" w:rsidRDefault="00D83D12" w:rsidP="00FE7869">
            <w:pPr>
              <w:jc w:val="right"/>
              <w:rPr>
                <w:b/>
              </w:rPr>
            </w:pPr>
            <w:r>
              <w:rPr>
                <w:b/>
              </w:rPr>
              <w:t>-9379,6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7839AD" w:rsidRDefault="00D83D12" w:rsidP="00FE7869">
            <w:pPr>
              <w:jc w:val="right"/>
              <w:rPr>
                <w:b/>
              </w:rPr>
            </w:pPr>
            <w:r>
              <w:rPr>
                <w:b/>
              </w:rPr>
              <w:t>-9667,0</w:t>
            </w:r>
          </w:p>
        </w:tc>
      </w:tr>
      <w:bookmarkEnd w:id="0"/>
    </w:tbl>
    <w:p w:rsidR="00FC56BC" w:rsidRPr="00533645" w:rsidRDefault="00FC56BC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C56BC" w:rsidRDefault="00FC56BC" w:rsidP="00FC56BC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FC56BC" w:rsidRPr="00941942" w:rsidRDefault="00FC56BC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</w:p>
    <w:p w:rsidR="00FC56BC" w:rsidRPr="00012361" w:rsidRDefault="00FC56BC" w:rsidP="00FC56BC">
      <w:pPr>
        <w:jc w:val="right"/>
      </w:pPr>
      <w:r>
        <w:t xml:space="preserve">Таблица 5 </w:t>
      </w:r>
    </w:p>
    <w:tbl>
      <w:tblPr>
        <w:tblW w:w="10222" w:type="dxa"/>
        <w:tblInd w:w="93" w:type="dxa"/>
        <w:tblLook w:val="00A0"/>
      </w:tblPr>
      <w:tblGrid>
        <w:gridCol w:w="5827"/>
        <w:gridCol w:w="943"/>
        <w:gridCol w:w="1184"/>
        <w:gridCol w:w="1096"/>
        <w:gridCol w:w="1172"/>
      </w:tblGrid>
      <w:tr w:rsidR="00FC56BC" w:rsidRPr="00474E40" w:rsidTr="00FE7869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C56BC" w:rsidRPr="00474E40" w:rsidRDefault="00FC56BC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FC56BC" w:rsidRPr="00474E40" w:rsidRDefault="00FC56BC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6BC" w:rsidRPr="005409A9" w:rsidRDefault="00FC56BC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837035" w:rsidRPr="00474E40" w:rsidTr="00FE7869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7035" w:rsidRPr="00474E40" w:rsidRDefault="00837035" w:rsidP="00FE7869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7035" w:rsidRPr="00474E40" w:rsidRDefault="0083703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035" w:rsidRPr="00F80FEA" w:rsidRDefault="00837035" w:rsidP="00FE7869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2019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035" w:rsidRPr="00F80FEA" w:rsidRDefault="00837035" w:rsidP="00FE7869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035" w:rsidRPr="00F80FEA" w:rsidRDefault="00837035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</w:tr>
      <w:tr w:rsidR="00FC56BC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«Развитие образования и воспитания»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D83D1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+2042,5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D83D1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-4519,4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D83D1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-4612,2</w:t>
            </w:r>
          </w:p>
        </w:tc>
      </w:tr>
      <w:tr w:rsidR="00D83D12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D12" w:rsidRPr="00D83D12" w:rsidRDefault="00D83D12" w:rsidP="00FE78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D83D12">
              <w:rPr>
                <w:bCs/>
                <w:color w:val="000000"/>
              </w:rPr>
              <w:t>Формирование здорового образа жизни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D12" w:rsidRPr="00780553" w:rsidRDefault="00E62260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D12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D12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D12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FE7869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«Развитие культуры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0300000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D83D1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D83D1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D83D1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«Социальная поддержка населения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88229A" w:rsidRDefault="00E62260" w:rsidP="00FE7869">
            <w:pPr>
              <w:jc w:val="center"/>
            </w:pPr>
            <w:r>
              <w:t>-424,3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88229A" w:rsidRDefault="00E62260" w:rsidP="00FE7869">
            <w:pPr>
              <w:jc w:val="center"/>
            </w:pPr>
            <w:r>
              <w:t>-442,8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88229A" w:rsidRDefault="00E62260" w:rsidP="00FE7869">
            <w:pPr>
              <w:jc w:val="center"/>
            </w:pPr>
            <w:r>
              <w:t>-442,8</w:t>
            </w:r>
          </w:p>
        </w:tc>
      </w:tr>
      <w:tr w:rsidR="00FC56BC" w:rsidRPr="00780553" w:rsidTr="00FE7869">
        <w:trPr>
          <w:trHeight w:val="2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«Безопасность на 2015-2020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0600000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9A1F7E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9A1F7E" w:rsidRDefault="00FC56BC" w:rsidP="00FE7869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на 2015-2020 годы"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Default="00FC56BC" w:rsidP="00FE7869">
            <w:pPr>
              <w:rPr>
                <w:color w:val="000000"/>
              </w:rPr>
            </w:pPr>
          </w:p>
          <w:p w:rsidR="00FC56BC" w:rsidRPr="009A1F7E" w:rsidRDefault="00FC56BC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Default="00FC56BC" w:rsidP="00FE7869">
            <w:pPr>
              <w:jc w:val="center"/>
              <w:rPr>
                <w:color w:val="000000"/>
              </w:rPr>
            </w:pPr>
          </w:p>
          <w:p w:rsidR="00E62260" w:rsidRPr="009A1F7E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9A1F7E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9A1F7E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-6257,0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-4417,</w:t>
            </w:r>
            <w:r w:rsidR="00966B31">
              <w:rPr>
                <w:color w:val="00000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-4612,0</w:t>
            </w:r>
          </w:p>
        </w:tc>
      </w:tr>
      <w:tr w:rsidR="00FC56BC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80553">
              <w:rPr>
                <w:color w:val="000000"/>
              </w:rPr>
              <w:t>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FE7869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Непрограммные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E6226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6BC" w:rsidRPr="00780553" w:rsidRDefault="00FC56BC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66B31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-11094,2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66B31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-9379,6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66B31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-9667,0</w:t>
            </w:r>
          </w:p>
        </w:tc>
      </w:tr>
    </w:tbl>
    <w:p w:rsidR="00194D30" w:rsidRDefault="00221F5C" w:rsidP="00221F5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</w:p>
    <w:p w:rsidR="002A0BF8" w:rsidRPr="00680EA8" w:rsidRDefault="00194D30" w:rsidP="002A0BF8">
      <w:pPr>
        <w:jc w:val="both"/>
        <w:rPr>
          <w:sz w:val="26"/>
          <w:szCs w:val="26"/>
        </w:rPr>
      </w:pPr>
      <w:r w:rsidRPr="00680EA8">
        <w:rPr>
          <w:sz w:val="26"/>
          <w:szCs w:val="26"/>
        </w:rPr>
        <w:t xml:space="preserve">        </w:t>
      </w:r>
      <w:r w:rsidR="00221F5C" w:rsidRPr="00680EA8">
        <w:rPr>
          <w:sz w:val="26"/>
          <w:szCs w:val="26"/>
        </w:rPr>
        <w:t xml:space="preserve">Из приведенного в таблицах 3-5 анализа изменений объема бюджетных ассигнований по расходам бюджета муниципального образования «Каракулинский район» </w:t>
      </w:r>
      <w:r w:rsidR="00680EA8">
        <w:rPr>
          <w:sz w:val="26"/>
          <w:szCs w:val="26"/>
        </w:rPr>
        <w:t xml:space="preserve">на 2019 год </w:t>
      </w:r>
      <w:r w:rsidR="00221F5C" w:rsidRPr="00680EA8">
        <w:rPr>
          <w:sz w:val="26"/>
          <w:szCs w:val="26"/>
        </w:rPr>
        <w:t xml:space="preserve">следует, что </w:t>
      </w:r>
      <w:r w:rsidR="002D1256">
        <w:rPr>
          <w:sz w:val="26"/>
          <w:szCs w:val="26"/>
        </w:rPr>
        <w:t>в основном увеличены бюджетные ассигнования</w:t>
      </w:r>
      <w:r w:rsidR="00221F5C" w:rsidRPr="00680EA8">
        <w:rPr>
          <w:sz w:val="26"/>
          <w:szCs w:val="26"/>
        </w:rPr>
        <w:t xml:space="preserve"> на сферу образования,</w:t>
      </w:r>
      <w:r w:rsidR="002A0BF8" w:rsidRPr="00680EA8">
        <w:rPr>
          <w:sz w:val="26"/>
          <w:szCs w:val="26"/>
        </w:rPr>
        <w:t xml:space="preserve"> </w:t>
      </w:r>
      <w:r w:rsidR="002D1256">
        <w:rPr>
          <w:sz w:val="26"/>
          <w:szCs w:val="26"/>
        </w:rPr>
        <w:t xml:space="preserve">сокращены расходы </w:t>
      </w:r>
      <w:r w:rsidR="002A0BF8" w:rsidRPr="00680EA8">
        <w:rPr>
          <w:sz w:val="26"/>
          <w:szCs w:val="26"/>
        </w:rPr>
        <w:t xml:space="preserve">на </w:t>
      </w:r>
      <w:r w:rsidR="00221F5C" w:rsidRPr="00680EA8">
        <w:rPr>
          <w:sz w:val="26"/>
          <w:szCs w:val="26"/>
        </w:rPr>
        <w:t xml:space="preserve">общегосударственные вопросы и  </w:t>
      </w:r>
      <w:r w:rsidR="002A0BF8" w:rsidRPr="00680EA8">
        <w:rPr>
          <w:sz w:val="26"/>
          <w:szCs w:val="26"/>
        </w:rPr>
        <w:t>физическую культуру и спорт</w:t>
      </w:r>
      <w:r w:rsidR="00221F5C" w:rsidRPr="00680EA8">
        <w:rPr>
          <w:sz w:val="26"/>
          <w:szCs w:val="26"/>
        </w:rPr>
        <w:t>.</w:t>
      </w:r>
      <w:r w:rsidR="00680EA8">
        <w:rPr>
          <w:sz w:val="26"/>
          <w:szCs w:val="26"/>
        </w:rPr>
        <w:t xml:space="preserve"> </w:t>
      </w:r>
      <w:r w:rsidR="00221F5C" w:rsidRPr="00680EA8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распорядителям бюджетных средств, относящимся к этим разделам расходов.</w:t>
      </w:r>
      <w:r w:rsidR="002A0BF8" w:rsidRPr="00680EA8">
        <w:rPr>
          <w:sz w:val="26"/>
          <w:szCs w:val="26"/>
        </w:rPr>
        <w:t xml:space="preserve">  Внесение изменений в бюджет муниципального образования «Каракулинский район» предусмотрено по 6 муниципальным программам. </w:t>
      </w:r>
      <w:r w:rsidR="002D1256">
        <w:rPr>
          <w:sz w:val="26"/>
          <w:szCs w:val="26"/>
        </w:rPr>
        <w:t xml:space="preserve">Согласно ведомственной структуре расходов изменения произведены по Администрации муниципального образования «Каракулинский район» и Управлению народного образования администрации муниципального образования «Каракулинский район». </w:t>
      </w:r>
    </w:p>
    <w:p w:rsidR="00221F5C" w:rsidRPr="002A0BF8" w:rsidRDefault="00221F5C" w:rsidP="00221F5C">
      <w:pPr>
        <w:ind w:firstLine="567"/>
        <w:jc w:val="both"/>
        <w:rPr>
          <w:color w:val="FF0000"/>
          <w:sz w:val="26"/>
          <w:szCs w:val="26"/>
        </w:rPr>
      </w:pPr>
    </w:p>
    <w:p w:rsidR="00680EA8" w:rsidRDefault="00680EA8" w:rsidP="00680EA8">
      <w:pPr>
        <w:jc w:val="both"/>
        <w:rPr>
          <w:sz w:val="26"/>
          <w:szCs w:val="26"/>
        </w:rPr>
      </w:pPr>
      <w:r w:rsidRPr="004B6B5E">
        <w:rPr>
          <w:b/>
          <w:sz w:val="26"/>
          <w:szCs w:val="26"/>
        </w:rPr>
        <w:t xml:space="preserve">     Управлени</w:t>
      </w:r>
      <w:r w:rsidR="002D1256">
        <w:rPr>
          <w:b/>
          <w:sz w:val="26"/>
          <w:szCs w:val="26"/>
        </w:rPr>
        <w:t>е</w:t>
      </w:r>
      <w:r w:rsidRPr="004B6B5E">
        <w:rPr>
          <w:b/>
          <w:sz w:val="26"/>
          <w:szCs w:val="26"/>
        </w:rPr>
        <w:t xml:space="preserve"> народного образования администрации муниципального образования «Каракулинский район»</w:t>
      </w:r>
      <w:r w:rsidR="004B6B5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9464C">
        <w:rPr>
          <w:sz w:val="26"/>
          <w:szCs w:val="26"/>
        </w:rPr>
        <w:t xml:space="preserve">бюджетные ассигнования </w:t>
      </w:r>
      <w:r w:rsidRPr="00747652">
        <w:rPr>
          <w:sz w:val="26"/>
          <w:szCs w:val="26"/>
          <w:u w:val="single"/>
        </w:rPr>
        <w:t>увеличены</w:t>
      </w:r>
      <w:r>
        <w:rPr>
          <w:sz w:val="26"/>
          <w:szCs w:val="26"/>
        </w:rPr>
        <w:t xml:space="preserve"> </w:t>
      </w:r>
      <w:r w:rsidR="002B3986">
        <w:rPr>
          <w:sz w:val="26"/>
          <w:szCs w:val="26"/>
        </w:rPr>
        <w:t xml:space="preserve">на Образование (раздел 0700), по муниципальной программе «Развитие образования и воспитание» </w:t>
      </w:r>
      <w:r w:rsidR="00267854">
        <w:rPr>
          <w:sz w:val="26"/>
          <w:szCs w:val="26"/>
        </w:rPr>
        <w:t>на</w:t>
      </w:r>
      <w:r w:rsidR="002B3986">
        <w:rPr>
          <w:sz w:val="26"/>
          <w:szCs w:val="26"/>
        </w:rPr>
        <w:t xml:space="preserve"> </w:t>
      </w:r>
      <w:r w:rsidR="00CC358E">
        <w:rPr>
          <w:sz w:val="26"/>
          <w:szCs w:val="26"/>
        </w:rPr>
        <w:t xml:space="preserve">2042,5 тыс. </w:t>
      </w:r>
      <w:r w:rsidR="004B6B5E">
        <w:rPr>
          <w:sz w:val="26"/>
          <w:szCs w:val="26"/>
        </w:rPr>
        <w:t>рублей, из них:</w:t>
      </w:r>
    </w:p>
    <w:p w:rsidR="004B6B5E" w:rsidRPr="008177A0" w:rsidRDefault="004B6B5E" w:rsidP="00680EA8">
      <w:pPr>
        <w:jc w:val="both"/>
        <w:rPr>
          <w:i/>
          <w:sz w:val="26"/>
          <w:szCs w:val="26"/>
        </w:rPr>
      </w:pPr>
      <w:r w:rsidRPr="008177A0">
        <w:rPr>
          <w:i/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9464C">
        <w:rPr>
          <w:i/>
          <w:sz w:val="26"/>
          <w:szCs w:val="26"/>
        </w:rPr>
        <w:t xml:space="preserve"> (+</w:t>
      </w:r>
      <w:r w:rsidR="008177A0" w:rsidRPr="008177A0">
        <w:rPr>
          <w:i/>
          <w:sz w:val="26"/>
          <w:szCs w:val="26"/>
        </w:rPr>
        <w:t xml:space="preserve"> 25,5 тыс. рублей</w:t>
      </w:r>
      <w:r w:rsidR="00C9464C">
        <w:rPr>
          <w:i/>
          <w:sz w:val="26"/>
          <w:szCs w:val="26"/>
        </w:rPr>
        <w:t>)</w:t>
      </w:r>
      <w:r w:rsidRPr="008177A0">
        <w:rPr>
          <w:i/>
          <w:sz w:val="26"/>
          <w:szCs w:val="26"/>
        </w:rPr>
        <w:t>;</w:t>
      </w:r>
    </w:p>
    <w:p w:rsidR="004B6B5E" w:rsidRPr="008177A0" w:rsidRDefault="004B6B5E" w:rsidP="00680EA8">
      <w:pPr>
        <w:jc w:val="both"/>
        <w:rPr>
          <w:i/>
          <w:sz w:val="26"/>
          <w:szCs w:val="26"/>
        </w:rPr>
      </w:pPr>
      <w:r w:rsidRPr="008177A0">
        <w:rPr>
          <w:i/>
          <w:sz w:val="26"/>
          <w:szCs w:val="26"/>
        </w:rPr>
        <w:lastRenderedPageBreak/>
        <w:t xml:space="preserve"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="00C9464C">
        <w:rPr>
          <w:i/>
          <w:sz w:val="26"/>
          <w:szCs w:val="26"/>
        </w:rPr>
        <w:t>(+</w:t>
      </w:r>
      <w:r w:rsidRPr="008177A0">
        <w:rPr>
          <w:i/>
          <w:sz w:val="26"/>
          <w:szCs w:val="26"/>
        </w:rPr>
        <w:t xml:space="preserve"> 179,3 тыс. рублей</w:t>
      </w:r>
      <w:r w:rsidR="00C9464C">
        <w:rPr>
          <w:i/>
          <w:sz w:val="26"/>
          <w:szCs w:val="26"/>
        </w:rPr>
        <w:t>)</w:t>
      </w:r>
      <w:r w:rsidRPr="008177A0">
        <w:rPr>
          <w:i/>
          <w:sz w:val="26"/>
          <w:szCs w:val="26"/>
        </w:rPr>
        <w:t>;</w:t>
      </w:r>
    </w:p>
    <w:p w:rsidR="004B6B5E" w:rsidRPr="008177A0" w:rsidRDefault="004B6B5E" w:rsidP="004B6B5E">
      <w:pPr>
        <w:jc w:val="both"/>
        <w:rPr>
          <w:i/>
          <w:sz w:val="22"/>
          <w:szCs w:val="22"/>
        </w:rPr>
      </w:pPr>
      <w:r w:rsidRPr="008177A0">
        <w:rPr>
          <w:i/>
          <w:sz w:val="26"/>
          <w:szCs w:val="26"/>
        </w:rPr>
        <w:t xml:space="preserve">- 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 </w:t>
      </w:r>
      <w:r w:rsidR="00C9464C">
        <w:rPr>
          <w:i/>
          <w:sz w:val="26"/>
          <w:szCs w:val="26"/>
        </w:rPr>
        <w:t>(+</w:t>
      </w:r>
      <w:r w:rsidRPr="008177A0">
        <w:rPr>
          <w:i/>
          <w:sz w:val="26"/>
          <w:szCs w:val="26"/>
        </w:rPr>
        <w:t xml:space="preserve"> 1837,7 тыс. рублей</w:t>
      </w:r>
      <w:r w:rsidR="00C9464C">
        <w:rPr>
          <w:i/>
          <w:sz w:val="26"/>
          <w:szCs w:val="26"/>
        </w:rPr>
        <w:t>)</w:t>
      </w:r>
      <w:r w:rsidRPr="008177A0">
        <w:rPr>
          <w:i/>
          <w:sz w:val="26"/>
          <w:szCs w:val="26"/>
        </w:rPr>
        <w:t>.</w:t>
      </w:r>
    </w:p>
    <w:p w:rsidR="004B6B5E" w:rsidRPr="004B6B5E" w:rsidRDefault="004B6B5E" w:rsidP="00680EA8">
      <w:pPr>
        <w:jc w:val="both"/>
        <w:rPr>
          <w:i/>
          <w:sz w:val="26"/>
          <w:szCs w:val="26"/>
        </w:rPr>
      </w:pPr>
    </w:p>
    <w:p w:rsidR="00FC4E6E" w:rsidRDefault="00FC4E6E" w:rsidP="00FC4E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FC4E6E">
        <w:rPr>
          <w:b/>
          <w:sz w:val="26"/>
          <w:szCs w:val="26"/>
        </w:rPr>
        <w:t>Администраци</w:t>
      </w:r>
      <w:r w:rsidR="002D1256">
        <w:rPr>
          <w:b/>
          <w:sz w:val="26"/>
          <w:szCs w:val="26"/>
        </w:rPr>
        <w:t>я</w:t>
      </w:r>
      <w:r w:rsidRPr="00FC4E6E">
        <w:rPr>
          <w:b/>
          <w:sz w:val="26"/>
          <w:szCs w:val="26"/>
        </w:rPr>
        <w:t xml:space="preserve"> муниципального образования «Каракулинский район»</w:t>
      </w:r>
      <w:r>
        <w:rPr>
          <w:b/>
          <w:sz w:val="26"/>
          <w:szCs w:val="26"/>
        </w:rPr>
        <w:t xml:space="preserve"> </w:t>
      </w:r>
      <w:r w:rsidR="00C9464C" w:rsidRPr="00C9464C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</w:t>
      </w:r>
      <w:r w:rsidRPr="00747652">
        <w:rPr>
          <w:sz w:val="26"/>
          <w:szCs w:val="26"/>
          <w:u w:val="single"/>
        </w:rPr>
        <w:t>уменьшены</w:t>
      </w:r>
      <w:r w:rsidR="00267854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3E384A">
        <w:rPr>
          <w:sz w:val="26"/>
          <w:szCs w:val="26"/>
        </w:rPr>
        <w:t>13</w:t>
      </w:r>
      <w:r w:rsidR="00267854">
        <w:rPr>
          <w:sz w:val="26"/>
          <w:szCs w:val="26"/>
        </w:rPr>
        <w:t xml:space="preserve"> </w:t>
      </w:r>
      <w:r w:rsidR="003E384A">
        <w:rPr>
          <w:sz w:val="26"/>
          <w:szCs w:val="26"/>
        </w:rPr>
        <w:t>136,7 тыс. рублей, из них:</w:t>
      </w:r>
    </w:p>
    <w:p w:rsidR="00FC4E6E" w:rsidRDefault="00FC4E6E" w:rsidP="00FC4E6E">
      <w:pPr>
        <w:jc w:val="both"/>
        <w:rPr>
          <w:sz w:val="26"/>
          <w:szCs w:val="26"/>
        </w:rPr>
      </w:pPr>
      <w:r w:rsidRPr="00225DE8">
        <w:rPr>
          <w:sz w:val="26"/>
          <w:szCs w:val="26"/>
          <w:u w:val="single"/>
        </w:rPr>
        <w:t xml:space="preserve"> </w:t>
      </w:r>
      <w:r w:rsidR="003E384A" w:rsidRPr="00225DE8">
        <w:rPr>
          <w:sz w:val="26"/>
          <w:szCs w:val="26"/>
          <w:u w:val="single"/>
        </w:rPr>
        <w:t>1. Общегосударственные вопросы</w:t>
      </w:r>
      <w:r w:rsidR="003E384A">
        <w:rPr>
          <w:sz w:val="26"/>
          <w:szCs w:val="26"/>
        </w:rPr>
        <w:t xml:space="preserve"> (раздел 0100) </w:t>
      </w:r>
      <w:r w:rsidR="00C9464C">
        <w:rPr>
          <w:sz w:val="26"/>
          <w:szCs w:val="26"/>
        </w:rPr>
        <w:t>(-</w:t>
      </w:r>
      <w:r w:rsidR="003E384A">
        <w:rPr>
          <w:sz w:val="26"/>
          <w:szCs w:val="26"/>
        </w:rPr>
        <w:t xml:space="preserve"> 6221,2 тыс. рублей</w:t>
      </w:r>
      <w:r w:rsidR="00C9464C">
        <w:rPr>
          <w:sz w:val="26"/>
          <w:szCs w:val="26"/>
        </w:rPr>
        <w:t>)</w:t>
      </w:r>
      <w:r w:rsidR="003E384A">
        <w:rPr>
          <w:sz w:val="26"/>
          <w:szCs w:val="26"/>
        </w:rPr>
        <w:t>, в том числе:</w:t>
      </w:r>
    </w:p>
    <w:p w:rsidR="003E384A" w:rsidRDefault="00747652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E384A">
        <w:rPr>
          <w:sz w:val="26"/>
          <w:szCs w:val="26"/>
        </w:rPr>
        <w:t xml:space="preserve">По муниципальной программе «Социальная поддержка населения» </w:t>
      </w:r>
      <w:r w:rsidR="00C9464C">
        <w:rPr>
          <w:sz w:val="26"/>
          <w:szCs w:val="26"/>
        </w:rPr>
        <w:t>(+</w:t>
      </w:r>
      <w:r w:rsidR="003E384A">
        <w:rPr>
          <w:sz w:val="26"/>
          <w:szCs w:val="26"/>
        </w:rPr>
        <w:t>28,6 тыс. рублей</w:t>
      </w:r>
      <w:r w:rsidR="00C9464C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747652" w:rsidRDefault="00747652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на осуществление отдельных государственных  полномочий по учету (регистрации) многодетных семей </w:t>
      </w:r>
      <w:r w:rsidR="00C9464C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 2,8 тыс. рублей</w:t>
      </w:r>
      <w:r w:rsidR="00C9464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;</w:t>
      </w:r>
    </w:p>
    <w:p w:rsidR="00747652" w:rsidRDefault="00747652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 на организацию социальной поддержки детей-сирот и детей, оставшихся без попечения родителей </w:t>
      </w:r>
      <w:r w:rsidR="00C9464C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 0,4 тыс. рублей</w:t>
      </w:r>
      <w:r w:rsidR="00C9464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;</w:t>
      </w:r>
    </w:p>
    <w:p w:rsidR="00747652" w:rsidRDefault="00747652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</w:t>
      </w:r>
      <w:r w:rsidR="00C9464C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 15,5 тыс. рублей</w:t>
      </w:r>
      <w:r w:rsidR="00C9464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;</w:t>
      </w:r>
    </w:p>
    <w:p w:rsidR="00C9464C" w:rsidRDefault="00C9464C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осуществление деятельности специалистов осуществляющих государственные полномочия, передаваемые в соответствии с Законом Удмуртской республики от 14 марта 2013 года №8-РЗ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(+9,9 тыс. рублей).</w:t>
      </w:r>
    </w:p>
    <w:p w:rsidR="00C9464C" w:rsidRPr="00DF5526" w:rsidRDefault="00C9464C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По муниципальной программе «Безопасность» (+4,2 тыс. рублей) </w:t>
      </w:r>
      <w:r w:rsidRPr="00DF5526">
        <w:rPr>
          <w:i/>
          <w:sz w:val="26"/>
          <w:szCs w:val="26"/>
        </w:rPr>
        <w:t>на осуществление отдельных государственных полномочий по созданию и организацию деятельности комиссий по делам несовершеннолетних и защите их прав.</w:t>
      </w:r>
    </w:p>
    <w:p w:rsidR="00C9464C" w:rsidRDefault="00DF5526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муниципальной программе «Муниципальной управление» (-6257,0 тыс. рублей):</w:t>
      </w:r>
    </w:p>
    <w:p w:rsidR="00DF5526" w:rsidRDefault="00DF5526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осуществление отдельных государственных полномочий Удмуртской республики в области архивного дела (+62,0 тыс. рублей);</w:t>
      </w:r>
    </w:p>
    <w:p w:rsidR="00DF5526" w:rsidRDefault="00DF5526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государственную регистрацию актов гражданского состояния (+10,0 тыс. рублей);</w:t>
      </w:r>
    </w:p>
    <w:p w:rsidR="00DF5526" w:rsidRDefault="00DF5526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осуществление деятельности Администрации Каракулинского района и совершенствование системы местного самоуправления (-6329,0 тыс. рублей).</w:t>
      </w:r>
    </w:p>
    <w:p w:rsidR="00DF5526" w:rsidRDefault="00DF5526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По непрограммным направлениям деятельности (+3,0 тыс. рублей) </w:t>
      </w:r>
      <w:r w:rsidRPr="00DF5526">
        <w:rPr>
          <w:i/>
          <w:sz w:val="26"/>
          <w:szCs w:val="26"/>
        </w:rPr>
        <w:t>на осуществление</w:t>
      </w:r>
      <w:r>
        <w:rPr>
          <w:i/>
          <w:sz w:val="26"/>
          <w:szCs w:val="26"/>
        </w:rPr>
        <w:t xml:space="preserve"> отдельных государственных полномочий по созданию и организации деятельности административных комиссий.</w:t>
      </w:r>
    </w:p>
    <w:p w:rsidR="00225DE8" w:rsidRDefault="00DF5526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25DE8">
        <w:rPr>
          <w:sz w:val="26"/>
          <w:szCs w:val="26"/>
          <w:u w:val="single"/>
        </w:rPr>
        <w:t>Жилищно-коммунальное хозяйство</w:t>
      </w:r>
      <w:r>
        <w:rPr>
          <w:sz w:val="26"/>
          <w:szCs w:val="26"/>
        </w:rPr>
        <w:t xml:space="preserve"> (раздел 0500) </w:t>
      </w:r>
      <w:r w:rsidR="00225DE8">
        <w:rPr>
          <w:sz w:val="26"/>
          <w:szCs w:val="26"/>
        </w:rPr>
        <w:t>(+69,9 тыс. рублей) по муниципальной программе «Муниципальное хозяйство»:</w:t>
      </w:r>
    </w:p>
    <w:p w:rsidR="00225DE8" w:rsidRDefault="00225DE8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отлов и содержание безнадзорных собак (+68,8 тыс. рублей);</w:t>
      </w:r>
    </w:p>
    <w:p w:rsidR="00DF5526" w:rsidRPr="00DF5526" w:rsidRDefault="00225DE8" w:rsidP="00FC4E6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осуществление отдельных государственных полномочий Удмуртской Республики по государственному жилищному надзору и лицензионному контролю (+1,1 тыс. рублей).</w:t>
      </w:r>
      <w:r>
        <w:rPr>
          <w:sz w:val="26"/>
          <w:szCs w:val="26"/>
        </w:rPr>
        <w:t xml:space="preserve"> </w:t>
      </w:r>
    </w:p>
    <w:p w:rsidR="00DF5526" w:rsidRDefault="00225DE8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25DE8">
        <w:rPr>
          <w:sz w:val="26"/>
          <w:szCs w:val="26"/>
          <w:u w:val="single"/>
        </w:rPr>
        <w:t>Социальная политика</w:t>
      </w:r>
      <w:r>
        <w:rPr>
          <w:sz w:val="26"/>
          <w:szCs w:val="26"/>
        </w:rPr>
        <w:t xml:space="preserve"> (раздел 1000) (-452,9 тыс. рублей) по муниципальной программе «Социальная поддержка населения» </w:t>
      </w:r>
      <w:r>
        <w:rPr>
          <w:i/>
          <w:sz w:val="26"/>
          <w:szCs w:val="26"/>
        </w:rPr>
        <w:t>на осуществление отдельных государственных полномочий по предоставлению мер социальной поддержки многодетным семьям.</w:t>
      </w:r>
    </w:p>
    <w:p w:rsidR="00225DE8" w:rsidRPr="00225DE8" w:rsidRDefault="00225DE8" w:rsidP="00FC4E6E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u w:val="single"/>
        </w:rPr>
        <w:t xml:space="preserve">Физическая культура и спорт </w:t>
      </w:r>
      <w:r w:rsidRPr="00225DE8">
        <w:rPr>
          <w:sz w:val="26"/>
          <w:szCs w:val="26"/>
        </w:rPr>
        <w:t>(раздел 1100)</w:t>
      </w:r>
      <w:r>
        <w:rPr>
          <w:sz w:val="26"/>
          <w:szCs w:val="26"/>
        </w:rPr>
        <w:t xml:space="preserve"> (-6532,5 тыс. рублей) по муниципальной программе «Формирование здорового образа жизни» </w:t>
      </w:r>
      <w:r>
        <w:rPr>
          <w:i/>
          <w:sz w:val="26"/>
          <w:szCs w:val="26"/>
        </w:rPr>
        <w:t>на организацию физкультурно-массовой и спортивной работы на уровне муниципального образования «Каракулинский район».</w:t>
      </w:r>
    </w:p>
    <w:p w:rsidR="00225DE8" w:rsidRPr="00225DE8" w:rsidRDefault="00225DE8" w:rsidP="00FC4E6E">
      <w:pPr>
        <w:jc w:val="both"/>
        <w:rPr>
          <w:i/>
          <w:sz w:val="26"/>
          <w:szCs w:val="26"/>
        </w:rPr>
      </w:pPr>
    </w:p>
    <w:p w:rsidR="00221F5C" w:rsidRDefault="00900EBD" w:rsidP="00221F5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095755">
        <w:rPr>
          <w:sz w:val="26"/>
          <w:szCs w:val="26"/>
        </w:rPr>
        <w:t>Проект Б</w:t>
      </w:r>
      <w:r w:rsidR="00095755" w:rsidRPr="00095755">
        <w:rPr>
          <w:sz w:val="26"/>
          <w:szCs w:val="26"/>
        </w:rPr>
        <w:t xml:space="preserve">юджета муниципального образования «Каракулинский район» на 2019 год </w:t>
      </w:r>
      <w:r w:rsidR="00134D35">
        <w:rPr>
          <w:sz w:val="26"/>
          <w:szCs w:val="26"/>
        </w:rPr>
        <w:t>и плановый период 2020 и</w:t>
      </w:r>
      <w:r w:rsidR="004C0140">
        <w:rPr>
          <w:sz w:val="26"/>
          <w:szCs w:val="26"/>
        </w:rPr>
        <w:t xml:space="preserve"> 2021 годов </w:t>
      </w:r>
      <w:r w:rsidR="00095755">
        <w:rPr>
          <w:sz w:val="26"/>
          <w:szCs w:val="26"/>
        </w:rPr>
        <w:t>предлагается принять бездефицитный.</w:t>
      </w:r>
    </w:p>
    <w:p w:rsidR="000454F3" w:rsidRDefault="000454F3" w:rsidP="00221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источников внутреннего финансирования дефицита бюджета</w:t>
      </w:r>
      <w:r w:rsidR="00134D35">
        <w:rPr>
          <w:sz w:val="26"/>
          <w:szCs w:val="26"/>
        </w:rPr>
        <w:t xml:space="preserve"> муниципального образования «Каракулинский район» </w:t>
      </w:r>
      <w:r>
        <w:rPr>
          <w:sz w:val="26"/>
          <w:szCs w:val="26"/>
        </w:rPr>
        <w:t xml:space="preserve"> представлен</w:t>
      </w:r>
      <w:r w:rsidR="00AE408B">
        <w:rPr>
          <w:sz w:val="26"/>
          <w:szCs w:val="26"/>
        </w:rPr>
        <w:t>о</w:t>
      </w:r>
      <w:r>
        <w:rPr>
          <w:sz w:val="26"/>
          <w:szCs w:val="26"/>
        </w:rPr>
        <w:t xml:space="preserve"> в таблице:</w:t>
      </w:r>
    </w:p>
    <w:p w:rsidR="000454F3" w:rsidRPr="000454F3" w:rsidRDefault="000454F3" w:rsidP="000454F3">
      <w:pPr>
        <w:ind w:firstLine="567"/>
        <w:jc w:val="right"/>
      </w:pPr>
      <w:r>
        <w:t>Таблица 6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851"/>
        <w:gridCol w:w="850"/>
        <w:gridCol w:w="850"/>
        <w:gridCol w:w="851"/>
        <w:gridCol w:w="880"/>
        <w:gridCol w:w="851"/>
      </w:tblGrid>
      <w:tr w:rsidR="000454F3" w:rsidRPr="00B37940" w:rsidTr="00FE7869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8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0454F3" w:rsidRPr="00B37940" w:rsidTr="00FE7869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0454F3" w:rsidRPr="00B37940" w:rsidTr="00FE7869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4F3" w:rsidRPr="00B37940" w:rsidRDefault="000454F3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</w:tr>
      <w:tr w:rsidR="000454F3" w:rsidRPr="00012361" w:rsidTr="00FE7869">
        <w:tc>
          <w:tcPr>
            <w:tcW w:w="2268" w:type="dxa"/>
            <w:tcBorders>
              <w:top w:val="single" w:sz="12" w:space="0" w:color="000000"/>
            </w:tcBorders>
          </w:tcPr>
          <w:p w:rsidR="000454F3" w:rsidRPr="00012361" w:rsidRDefault="000454F3" w:rsidP="000454F3">
            <w:pPr>
              <w:autoSpaceDE w:val="0"/>
              <w:autoSpaceDN w:val="0"/>
              <w:adjustRightInd w:val="0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24897,0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9972,7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10157,5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454F3" w:rsidRPr="007E1477" w:rsidRDefault="000454F3" w:rsidP="000454F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12035,5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12968,8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13902,1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454F3" w:rsidRPr="007E1477" w:rsidRDefault="00AE408B" w:rsidP="004F6FD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</w:t>
            </w:r>
            <w:r w:rsidR="004F6FDE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861,5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+2996,1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+3744,6</w:t>
            </w:r>
          </w:p>
        </w:tc>
      </w:tr>
      <w:tr w:rsidR="000454F3" w:rsidRPr="00012361" w:rsidTr="00FE7869">
        <w:tc>
          <w:tcPr>
            <w:tcW w:w="2268" w:type="dxa"/>
            <w:tcBorders>
              <w:top w:val="single" w:sz="12" w:space="0" w:color="000000"/>
            </w:tcBorders>
          </w:tcPr>
          <w:p w:rsidR="000454F3" w:rsidRDefault="000454F3" w:rsidP="006E503E">
            <w:pPr>
              <w:autoSpaceDE w:val="0"/>
              <w:autoSpaceDN w:val="0"/>
              <w:adjustRightInd w:val="0"/>
            </w:pPr>
            <w:r>
              <w:t>Погашение кредитов</w:t>
            </w:r>
            <w:r w:rsidR="006E503E">
              <w:t>, предоставленных</w:t>
            </w:r>
            <w:r>
              <w:t xml:space="preserve"> кредитны</w:t>
            </w:r>
            <w:r w:rsidR="006E503E">
              <w:t>ми организациями в валюте российской Федерации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11102,2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454F3" w:rsidRDefault="000454F3" w:rsidP="000454F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0454F3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12035,5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0454F3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12968,8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-11102,2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+12035,5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+12968,8</w:t>
            </w:r>
          </w:p>
        </w:tc>
      </w:tr>
      <w:tr w:rsidR="000454F3" w:rsidRPr="00012361" w:rsidTr="00FE786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454F3" w:rsidRPr="00012361" w:rsidRDefault="000454F3" w:rsidP="00FE7869">
            <w:pPr>
              <w:autoSpaceDE w:val="0"/>
              <w:autoSpaceDN w:val="0"/>
              <w:adjustRightInd w:val="0"/>
            </w:pPr>
            <w: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900" w:type="dxa"/>
            <w:vAlign w:val="center"/>
          </w:tcPr>
          <w:p w:rsidR="000454F3" w:rsidRPr="000454F3" w:rsidRDefault="000454F3" w:rsidP="00FE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933,3</w:t>
            </w:r>
          </w:p>
        </w:tc>
        <w:tc>
          <w:tcPr>
            <w:tcW w:w="919" w:type="dxa"/>
            <w:vAlign w:val="center"/>
          </w:tcPr>
          <w:p w:rsidR="000454F3" w:rsidRPr="000454F3" w:rsidRDefault="000454F3" w:rsidP="00FE7869">
            <w:pPr>
              <w:jc w:val="center"/>
              <w:rPr>
                <w:sz w:val="16"/>
                <w:szCs w:val="16"/>
              </w:rPr>
            </w:pPr>
            <w:r w:rsidRPr="000454F3">
              <w:rPr>
                <w:sz w:val="16"/>
                <w:szCs w:val="16"/>
              </w:rPr>
              <w:t>933,3</w:t>
            </w:r>
          </w:p>
        </w:tc>
        <w:tc>
          <w:tcPr>
            <w:tcW w:w="938" w:type="dxa"/>
            <w:vAlign w:val="center"/>
          </w:tcPr>
          <w:p w:rsidR="000454F3" w:rsidRPr="000454F3" w:rsidRDefault="000454F3" w:rsidP="00FE7869">
            <w:pPr>
              <w:jc w:val="center"/>
              <w:rPr>
                <w:sz w:val="16"/>
                <w:szCs w:val="16"/>
              </w:rPr>
            </w:pPr>
            <w:r w:rsidRPr="000454F3">
              <w:rPr>
                <w:sz w:val="16"/>
                <w:szCs w:val="16"/>
              </w:rPr>
              <w:t>933,3</w:t>
            </w:r>
          </w:p>
        </w:tc>
        <w:tc>
          <w:tcPr>
            <w:tcW w:w="851" w:type="dxa"/>
            <w:vAlign w:val="center"/>
          </w:tcPr>
          <w:p w:rsidR="000454F3" w:rsidRPr="000454F3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454F3">
              <w:rPr>
                <w:sz w:val="16"/>
                <w:szCs w:val="16"/>
              </w:rPr>
              <w:t>12035,5</w:t>
            </w:r>
          </w:p>
        </w:tc>
        <w:tc>
          <w:tcPr>
            <w:tcW w:w="850" w:type="dxa"/>
            <w:vAlign w:val="center"/>
          </w:tcPr>
          <w:p w:rsidR="000454F3" w:rsidRPr="000454F3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454F3">
              <w:rPr>
                <w:sz w:val="16"/>
                <w:szCs w:val="16"/>
              </w:rPr>
              <w:t>933,3</w:t>
            </w:r>
          </w:p>
        </w:tc>
        <w:tc>
          <w:tcPr>
            <w:tcW w:w="850" w:type="dxa"/>
            <w:vAlign w:val="center"/>
          </w:tcPr>
          <w:p w:rsidR="000454F3" w:rsidRPr="000454F3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454F3">
              <w:rPr>
                <w:sz w:val="16"/>
                <w:szCs w:val="16"/>
              </w:rPr>
              <w:t>933,3</w:t>
            </w:r>
          </w:p>
        </w:tc>
        <w:tc>
          <w:tcPr>
            <w:tcW w:w="851" w:type="dxa"/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+11102,2</w:t>
            </w:r>
          </w:p>
        </w:tc>
        <w:tc>
          <w:tcPr>
            <w:tcW w:w="880" w:type="dxa"/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454F3" w:rsidRPr="007E1477" w:rsidRDefault="00AE408B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0454F3" w:rsidRPr="00012361" w:rsidTr="00FE7869">
        <w:tc>
          <w:tcPr>
            <w:tcW w:w="2268" w:type="dxa"/>
          </w:tcPr>
          <w:p w:rsidR="000454F3" w:rsidRPr="00012361" w:rsidRDefault="000454F3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- 12 861,5</w:t>
            </w:r>
          </w:p>
        </w:tc>
        <w:tc>
          <w:tcPr>
            <w:tcW w:w="919" w:type="dxa"/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-9 039,4</w:t>
            </w:r>
          </w:p>
        </w:tc>
        <w:tc>
          <w:tcPr>
            <w:tcW w:w="938" w:type="dxa"/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  <w:r w:rsidRPr="00A85DFB">
              <w:rPr>
                <w:sz w:val="16"/>
                <w:szCs w:val="16"/>
              </w:rPr>
              <w:t>-9 224,2</w:t>
            </w:r>
          </w:p>
        </w:tc>
        <w:tc>
          <w:tcPr>
            <w:tcW w:w="851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12861,5</w:t>
            </w:r>
          </w:p>
        </w:tc>
        <w:tc>
          <w:tcPr>
            <w:tcW w:w="880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9039,4</w:t>
            </w:r>
          </w:p>
        </w:tc>
        <w:tc>
          <w:tcPr>
            <w:tcW w:w="851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9224,2</w:t>
            </w:r>
          </w:p>
        </w:tc>
      </w:tr>
      <w:tr w:rsidR="000454F3" w:rsidRPr="00012361" w:rsidTr="00FE7869">
        <w:tc>
          <w:tcPr>
            <w:tcW w:w="2268" w:type="dxa"/>
          </w:tcPr>
          <w:p w:rsidR="000454F3" w:rsidRPr="007504BC" w:rsidRDefault="000454F3" w:rsidP="00FE7869">
            <w:pPr>
              <w:rPr>
                <w:i/>
              </w:rPr>
            </w:pPr>
          </w:p>
        </w:tc>
        <w:tc>
          <w:tcPr>
            <w:tcW w:w="900" w:type="dxa"/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0454F3" w:rsidRPr="00A85DFB" w:rsidRDefault="000454F3" w:rsidP="00FE7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454F3" w:rsidRPr="007E1477" w:rsidRDefault="000454F3" w:rsidP="00FE786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095755" w:rsidRPr="00095755" w:rsidRDefault="00095755" w:rsidP="00221F5C">
      <w:pPr>
        <w:ind w:firstLine="567"/>
        <w:jc w:val="both"/>
        <w:rPr>
          <w:sz w:val="26"/>
          <w:szCs w:val="26"/>
        </w:rPr>
      </w:pPr>
    </w:p>
    <w:p w:rsidR="00221F5C" w:rsidRDefault="00AE408B" w:rsidP="00221F5C">
      <w:pPr>
        <w:jc w:val="both"/>
        <w:rPr>
          <w:sz w:val="26"/>
          <w:szCs w:val="26"/>
        </w:rPr>
      </w:pPr>
      <w:r w:rsidRPr="006859A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Изменения в источниках финансирования дефицита бюджета связаны с предлагаемой к утверждению измененной программой муниципальных заимствований на </w:t>
      </w:r>
      <w:r w:rsidR="00134D35">
        <w:rPr>
          <w:sz w:val="26"/>
          <w:szCs w:val="26"/>
        </w:rPr>
        <w:t xml:space="preserve">2019 год и плановый период 2020 и </w:t>
      </w:r>
      <w:r>
        <w:rPr>
          <w:sz w:val="26"/>
          <w:szCs w:val="26"/>
        </w:rPr>
        <w:t>2021 годов.</w:t>
      </w: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Pr="00055DC6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Pr="00515B7D" w:rsidRDefault="00221F5C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221F5C" w:rsidRPr="00515B7D" w:rsidRDefault="00221F5C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221F5C" w:rsidRPr="0039203C" w:rsidRDefault="00221F5C" w:rsidP="00221F5C">
      <w:pPr>
        <w:jc w:val="both"/>
        <w:rPr>
          <w:sz w:val="26"/>
          <w:szCs w:val="26"/>
        </w:rPr>
      </w:pPr>
    </w:p>
    <w:p w:rsidR="0054472D" w:rsidRDefault="0054472D" w:rsidP="00221F5C">
      <w:pPr>
        <w:autoSpaceDE w:val="0"/>
        <w:autoSpaceDN w:val="0"/>
        <w:adjustRightInd w:val="0"/>
        <w:jc w:val="both"/>
      </w:pPr>
    </w:p>
    <w:sectPr w:rsidR="0054472D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0E" w:rsidRDefault="008B500E">
      <w:r>
        <w:separator/>
      </w:r>
    </w:p>
  </w:endnote>
  <w:endnote w:type="continuationSeparator" w:id="0">
    <w:p w:rsidR="008B500E" w:rsidRDefault="008B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69" w:rsidRDefault="006E2683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FE7869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E7869" w:rsidRDefault="00FE7869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69" w:rsidRDefault="00FE7869" w:rsidP="003D2CDA">
    <w:pPr>
      <w:pStyle w:val="a5"/>
    </w:pPr>
  </w:p>
  <w:p w:rsidR="00FE7869" w:rsidRDefault="00FE7869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0E" w:rsidRDefault="008B500E">
      <w:r>
        <w:separator/>
      </w:r>
    </w:p>
  </w:footnote>
  <w:footnote w:type="continuationSeparator" w:id="0">
    <w:p w:rsidR="008B500E" w:rsidRDefault="008B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69" w:rsidRDefault="006E2683">
    <w:pPr>
      <w:pStyle w:val="a3"/>
      <w:jc w:val="center"/>
    </w:pPr>
    <w:fldSimple w:instr=" PAGE   \* MERGEFORMAT ">
      <w:r w:rsidR="004F6FDE">
        <w:rPr>
          <w:noProof/>
        </w:rPr>
        <w:t>6</w:t>
      </w:r>
    </w:fldSimple>
  </w:p>
  <w:p w:rsidR="00FE7869" w:rsidRDefault="00FE7869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69" w:rsidRDefault="00FE7869" w:rsidP="00D5531F">
    <w:pPr>
      <w:pStyle w:val="1"/>
      <w:ind w:firstLine="426"/>
      <w:rPr>
        <w:b w:val="0"/>
        <w:spacing w:val="80"/>
        <w:sz w:val="20"/>
      </w:rPr>
    </w:pPr>
  </w:p>
  <w:p w:rsidR="00FE7869" w:rsidRPr="00D5531F" w:rsidRDefault="00FE7869" w:rsidP="00D5531F">
    <w:pPr>
      <w:pStyle w:val="1"/>
      <w:ind w:firstLine="426"/>
      <w:rPr>
        <w:b w:val="0"/>
        <w:spacing w:val="80"/>
        <w:sz w:val="20"/>
      </w:rPr>
    </w:pPr>
  </w:p>
  <w:p w:rsidR="00FE7869" w:rsidRPr="006A1F58" w:rsidRDefault="00FE7869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FE7869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E7869" w:rsidRDefault="00FE7869" w:rsidP="003F7BED">
          <w:pPr>
            <w:tabs>
              <w:tab w:val="left" w:pos="1400"/>
            </w:tabs>
            <w:jc w:val="center"/>
          </w:pPr>
        </w:p>
        <w:p w:rsidR="00FE7869" w:rsidRPr="004B5A18" w:rsidRDefault="00FE7869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FE7869" w:rsidRPr="00E60F47" w:rsidRDefault="006E2683" w:rsidP="003F7BED">
          <w:pPr>
            <w:jc w:val="center"/>
          </w:pPr>
          <w:r w:rsidRPr="006E2683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6.9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FE7869" w:rsidRDefault="00FE7869" w:rsidP="003F7BED">
          <w:pPr>
            <w:jc w:val="both"/>
            <w:rPr>
              <w:bCs/>
              <w:sz w:val="18"/>
              <w:szCs w:val="18"/>
            </w:rPr>
          </w:pPr>
        </w:p>
        <w:p w:rsidR="00FE7869" w:rsidRPr="004B5A18" w:rsidRDefault="00FE7869" w:rsidP="003F7BED">
          <w:pPr>
            <w:jc w:val="center"/>
            <w:rPr>
              <w:bCs/>
              <w:sz w:val="18"/>
              <w:szCs w:val="18"/>
            </w:rPr>
          </w:pPr>
        </w:p>
        <w:p w:rsidR="00FE7869" w:rsidRPr="004B5A18" w:rsidRDefault="00FE7869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FE7869" w:rsidRPr="00542C30" w:rsidRDefault="00FE7869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FE7869" w:rsidRPr="00542C30" w:rsidRDefault="00FE7869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FE7869" w:rsidRPr="003F7BED" w:rsidRDefault="00FE7869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3493"/>
    <w:rsid w:val="000435FD"/>
    <w:rsid w:val="00044218"/>
    <w:rsid w:val="00044A78"/>
    <w:rsid w:val="00044A83"/>
    <w:rsid w:val="000454F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706CB"/>
    <w:rsid w:val="00071341"/>
    <w:rsid w:val="00071A0E"/>
    <w:rsid w:val="00072AC1"/>
    <w:rsid w:val="00072B38"/>
    <w:rsid w:val="00072C65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64A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6446"/>
    <w:rsid w:val="000B65DD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7068"/>
    <w:rsid w:val="000E70FD"/>
    <w:rsid w:val="000E7994"/>
    <w:rsid w:val="000F0172"/>
    <w:rsid w:val="000F20CD"/>
    <w:rsid w:val="000F3C2C"/>
    <w:rsid w:val="000F4310"/>
    <w:rsid w:val="000F6943"/>
    <w:rsid w:val="000F76AC"/>
    <w:rsid w:val="00100174"/>
    <w:rsid w:val="00100832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FBF"/>
    <w:rsid w:val="001272FF"/>
    <w:rsid w:val="00127DAF"/>
    <w:rsid w:val="0013168D"/>
    <w:rsid w:val="00132669"/>
    <w:rsid w:val="00134D35"/>
    <w:rsid w:val="0013557F"/>
    <w:rsid w:val="00135C93"/>
    <w:rsid w:val="00135E57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C40"/>
    <w:rsid w:val="00160427"/>
    <w:rsid w:val="00160F0B"/>
    <w:rsid w:val="00161A77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2D55"/>
    <w:rsid w:val="001739B4"/>
    <w:rsid w:val="00174C66"/>
    <w:rsid w:val="00174DD5"/>
    <w:rsid w:val="001771C7"/>
    <w:rsid w:val="001810EA"/>
    <w:rsid w:val="0018127B"/>
    <w:rsid w:val="001817C5"/>
    <w:rsid w:val="00183671"/>
    <w:rsid w:val="00184A33"/>
    <w:rsid w:val="00184BAB"/>
    <w:rsid w:val="00185A34"/>
    <w:rsid w:val="00185AF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8C7"/>
    <w:rsid w:val="001B4ADF"/>
    <w:rsid w:val="001B5B13"/>
    <w:rsid w:val="001B6C5E"/>
    <w:rsid w:val="001B7935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6018"/>
    <w:rsid w:val="00216EDA"/>
    <w:rsid w:val="002171FC"/>
    <w:rsid w:val="00217DA3"/>
    <w:rsid w:val="00220294"/>
    <w:rsid w:val="002205AF"/>
    <w:rsid w:val="00221F5C"/>
    <w:rsid w:val="002221BC"/>
    <w:rsid w:val="0022288F"/>
    <w:rsid w:val="00222D53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7122"/>
    <w:rsid w:val="00290093"/>
    <w:rsid w:val="002909D3"/>
    <w:rsid w:val="00291866"/>
    <w:rsid w:val="00291A14"/>
    <w:rsid w:val="00291C68"/>
    <w:rsid w:val="0029201B"/>
    <w:rsid w:val="0029212C"/>
    <w:rsid w:val="00292E41"/>
    <w:rsid w:val="00293076"/>
    <w:rsid w:val="00294069"/>
    <w:rsid w:val="00294F4B"/>
    <w:rsid w:val="00295083"/>
    <w:rsid w:val="00296654"/>
    <w:rsid w:val="0029679F"/>
    <w:rsid w:val="00296C23"/>
    <w:rsid w:val="00297FD4"/>
    <w:rsid w:val="002A0437"/>
    <w:rsid w:val="002A0BF8"/>
    <w:rsid w:val="002A0C42"/>
    <w:rsid w:val="002A20FC"/>
    <w:rsid w:val="002A27B9"/>
    <w:rsid w:val="002A2D0B"/>
    <w:rsid w:val="002A355E"/>
    <w:rsid w:val="002A3F62"/>
    <w:rsid w:val="002A47FF"/>
    <w:rsid w:val="002A4BC4"/>
    <w:rsid w:val="002A50C0"/>
    <w:rsid w:val="002A518F"/>
    <w:rsid w:val="002A5CB4"/>
    <w:rsid w:val="002A5F53"/>
    <w:rsid w:val="002A7558"/>
    <w:rsid w:val="002B2933"/>
    <w:rsid w:val="002B34D1"/>
    <w:rsid w:val="002B3986"/>
    <w:rsid w:val="002B415C"/>
    <w:rsid w:val="002B794E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23C"/>
    <w:rsid w:val="002D2E08"/>
    <w:rsid w:val="002D3145"/>
    <w:rsid w:val="002D34AF"/>
    <w:rsid w:val="002D46DD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7177"/>
    <w:rsid w:val="0038777D"/>
    <w:rsid w:val="00390320"/>
    <w:rsid w:val="003909EC"/>
    <w:rsid w:val="00391444"/>
    <w:rsid w:val="00391863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D12B8"/>
    <w:rsid w:val="003D1449"/>
    <w:rsid w:val="003D1B80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6F9"/>
    <w:rsid w:val="003E0C9F"/>
    <w:rsid w:val="003E1722"/>
    <w:rsid w:val="003E1DF3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5030"/>
    <w:rsid w:val="004155F0"/>
    <w:rsid w:val="00415C6B"/>
    <w:rsid w:val="00416810"/>
    <w:rsid w:val="004171D9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53A"/>
    <w:rsid w:val="0045357E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42B4"/>
    <w:rsid w:val="00474CA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66F3"/>
    <w:rsid w:val="005167B1"/>
    <w:rsid w:val="005206C1"/>
    <w:rsid w:val="00524F1D"/>
    <w:rsid w:val="00525089"/>
    <w:rsid w:val="0052575B"/>
    <w:rsid w:val="00526575"/>
    <w:rsid w:val="00526AF8"/>
    <w:rsid w:val="00527BE0"/>
    <w:rsid w:val="0053341E"/>
    <w:rsid w:val="005342A8"/>
    <w:rsid w:val="00534725"/>
    <w:rsid w:val="00534DEE"/>
    <w:rsid w:val="00537DEC"/>
    <w:rsid w:val="005405C1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CFB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2568"/>
    <w:rsid w:val="006125CA"/>
    <w:rsid w:val="00612611"/>
    <w:rsid w:val="0061284B"/>
    <w:rsid w:val="006129C9"/>
    <w:rsid w:val="00614165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7037"/>
    <w:rsid w:val="00677430"/>
    <w:rsid w:val="00677B6D"/>
    <w:rsid w:val="00680680"/>
    <w:rsid w:val="00680EA8"/>
    <w:rsid w:val="00681680"/>
    <w:rsid w:val="00681A1A"/>
    <w:rsid w:val="006831B2"/>
    <w:rsid w:val="0068424C"/>
    <w:rsid w:val="00684ED5"/>
    <w:rsid w:val="0068547E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411C"/>
    <w:rsid w:val="006C4E43"/>
    <w:rsid w:val="006C51B0"/>
    <w:rsid w:val="006C54AB"/>
    <w:rsid w:val="006C5B52"/>
    <w:rsid w:val="006C6106"/>
    <w:rsid w:val="006C6255"/>
    <w:rsid w:val="006C6265"/>
    <w:rsid w:val="006C68C6"/>
    <w:rsid w:val="006C74C9"/>
    <w:rsid w:val="006C7D28"/>
    <w:rsid w:val="006D05AD"/>
    <w:rsid w:val="006D0D6B"/>
    <w:rsid w:val="006D1473"/>
    <w:rsid w:val="006D1540"/>
    <w:rsid w:val="006D2520"/>
    <w:rsid w:val="006D3945"/>
    <w:rsid w:val="006D3C90"/>
    <w:rsid w:val="006D48AA"/>
    <w:rsid w:val="006D5030"/>
    <w:rsid w:val="006D755E"/>
    <w:rsid w:val="006D7DF9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69CE"/>
    <w:rsid w:val="00746F0D"/>
    <w:rsid w:val="00747652"/>
    <w:rsid w:val="007476E7"/>
    <w:rsid w:val="00747B0A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1950"/>
    <w:rsid w:val="0078209C"/>
    <w:rsid w:val="007823B1"/>
    <w:rsid w:val="007834F0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AA"/>
    <w:rsid w:val="00792CDF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1B36"/>
    <w:rsid w:val="007A20F0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818"/>
    <w:rsid w:val="007B4065"/>
    <w:rsid w:val="007B7956"/>
    <w:rsid w:val="007B7A75"/>
    <w:rsid w:val="007C24BA"/>
    <w:rsid w:val="007C325B"/>
    <w:rsid w:val="007C38D0"/>
    <w:rsid w:val="007C4033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65FA"/>
    <w:rsid w:val="007E1329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BAC"/>
    <w:rsid w:val="007F714B"/>
    <w:rsid w:val="007F75DF"/>
    <w:rsid w:val="007F7DEF"/>
    <w:rsid w:val="00800103"/>
    <w:rsid w:val="00802FB4"/>
    <w:rsid w:val="0080397E"/>
    <w:rsid w:val="00805B9A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84F"/>
    <w:rsid w:val="00872ED6"/>
    <w:rsid w:val="00873F44"/>
    <w:rsid w:val="008776C9"/>
    <w:rsid w:val="008777D3"/>
    <w:rsid w:val="0088337C"/>
    <w:rsid w:val="0088350C"/>
    <w:rsid w:val="00884B6A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B3C"/>
    <w:rsid w:val="008C112F"/>
    <w:rsid w:val="008C316F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1008B"/>
    <w:rsid w:val="009100B8"/>
    <w:rsid w:val="009101ED"/>
    <w:rsid w:val="00910552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401FE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7B0"/>
    <w:rsid w:val="00994AC8"/>
    <w:rsid w:val="00997473"/>
    <w:rsid w:val="009A0E85"/>
    <w:rsid w:val="009A190F"/>
    <w:rsid w:val="009A2F37"/>
    <w:rsid w:val="009A3CF9"/>
    <w:rsid w:val="009A4160"/>
    <w:rsid w:val="009A55AD"/>
    <w:rsid w:val="009A5D0D"/>
    <w:rsid w:val="009A7905"/>
    <w:rsid w:val="009B0D4C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B7D"/>
    <w:rsid w:val="009C71D7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B15"/>
    <w:rsid w:val="00A10087"/>
    <w:rsid w:val="00A104AC"/>
    <w:rsid w:val="00A10560"/>
    <w:rsid w:val="00A118B8"/>
    <w:rsid w:val="00A118EE"/>
    <w:rsid w:val="00A1518C"/>
    <w:rsid w:val="00A166CB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5845"/>
    <w:rsid w:val="00A75F5A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FB2"/>
    <w:rsid w:val="00AD4FA6"/>
    <w:rsid w:val="00AD717F"/>
    <w:rsid w:val="00AD7F98"/>
    <w:rsid w:val="00AE009B"/>
    <w:rsid w:val="00AE0B67"/>
    <w:rsid w:val="00AE0F19"/>
    <w:rsid w:val="00AE1601"/>
    <w:rsid w:val="00AE1CEB"/>
    <w:rsid w:val="00AE2357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6A59"/>
    <w:rsid w:val="00B80ACA"/>
    <w:rsid w:val="00B81E39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A0D"/>
    <w:rsid w:val="00BB056E"/>
    <w:rsid w:val="00BB0C64"/>
    <w:rsid w:val="00BB13AC"/>
    <w:rsid w:val="00BB1AF2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95C"/>
    <w:rsid w:val="00BD5F5A"/>
    <w:rsid w:val="00BD67CE"/>
    <w:rsid w:val="00BD6F71"/>
    <w:rsid w:val="00BD70DE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E86"/>
    <w:rsid w:val="00C40BD6"/>
    <w:rsid w:val="00C433C5"/>
    <w:rsid w:val="00C4378E"/>
    <w:rsid w:val="00C43A14"/>
    <w:rsid w:val="00C44B82"/>
    <w:rsid w:val="00C44E3A"/>
    <w:rsid w:val="00C45B86"/>
    <w:rsid w:val="00C469EF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5C4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C4"/>
    <w:rsid w:val="00D35D29"/>
    <w:rsid w:val="00D4031B"/>
    <w:rsid w:val="00D4073F"/>
    <w:rsid w:val="00D40DBA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67C7"/>
    <w:rsid w:val="00D6699B"/>
    <w:rsid w:val="00D7068C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0616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F0689"/>
    <w:rsid w:val="00DF0B02"/>
    <w:rsid w:val="00DF1096"/>
    <w:rsid w:val="00DF20B1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C2B19"/>
    <w:rsid w:val="00EC4250"/>
    <w:rsid w:val="00EC43EF"/>
    <w:rsid w:val="00EC555F"/>
    <w:rsid w:val="00EC6832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662"/>
    <w:rsid w:val="00FC2C8F"/>
    <w:rsid w:val="00FC2DDC"/>
    <w:rsid w:val="00FC3D7D"/>
    <w:rsid w:val="00FC420B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rsid w:val="00221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11299</TotalTime>
  <Pages>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1160</cp:revision>
  <cp:lastPrinted>2019-01-16T05:50:00Z</cp:lastPrinted>
  <dcterms:created xsi:type="dcterms:W3CDTF">2015-09-22T09:59:00Z</dcterms:created>
  <dcterms:modified xsi:type="dcterms:W3CDTF">2019-01-16T10:01:00Z</dcterms:modified>
</cp:coreProperties>
</file>